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5061"/>
      </w:tblGrid>
      <w:tr w:rsidR="00311294" w:rsidRPr="00926049" w14:paraId="5C23BC79" w14:textId="77777777" w:rsidTr="008B5E1E">
        <w:trPr>
          <w:trHeight w:val="56"/>
          <w:jc w:val="center"/>
        </w:trPr>
        <w:tc>
          <w:tcPr>
            <w:tcW w:w="5145" w:type="dxa"/>
          </w:tcPr>
          <w:p w14:paraId="75982B5F" w14:textId="01DB036B" w:rsidR="00311294" w:rsidRPr="00926049" w:rsidRDefault="00311294" w:rsidP="00D418E5">
            <w:pPr>
              <w:pStyle w:val="Title"/>
              <w:tabs>
                <w:tab w:val="left" w:pos="0"/>
              </w:tabs>
              <w:suppressAutoHyphens/>
              <w:ind w:firstLine="181"/>
              <w:jc w:val="right"/>
              <w:rPr>
                <w:rFonts w:ascii="Verdana" w:hAnsi="Verdana"/>
                <w:b w:val="0"/>
                <w:bCs/>
                <w:i/>
                <w:iCs/>
                <w:sz w:val="18"/>
                <w:szCs w:val="18"/>
              </w:rPr>
            </w:pPr>
            <w:r w:rsidRPr="00926049">
              <w:rPr>
                <w:rFonts w:ascii="Verdana" w:hAnsi="Verdana"/>
                <w:b w:val="0"/>
                <w:bCs/>
                <w:i/>
                <w:iCs/>
                <w:sz w:val="18"/>
                <w:szCs w:val="18"/>
              </w:rPr>
              <w:t xml:space="preserve">Pielikums Nr. </w:t>
            </w:r>
            <w:r w:rsidRPr="00926049">
              <w:rPr>
                <w:rFonts w:ascii="Verdana" w:hAnsi="Verdana"/>
                <w:b w:val="0"/>
                <w:bCs/>
                <w:i/>
                <w:iCs/>
                <w:sz w:val="18"/>
                <w:szCs w:val="18"/>
                <w:highlight w:val="lightGray"/>
              </w:rPr>
              <w:t>[</w:t>
            </w:r>
            <w:r w:rsidRPr="00926049">
              <w:rPr>
                <w:rFonts w:ascii="Verdana" w:hAnsi="Verdana" w:cs="Arial"/>
                <w:b w:val="0"/>
                <w:bCs/>
                <w:i/>
                <w:iCs/>
                <w:sz w:val="18"/>
                <w:szCs w:val="18"/>
                <w:highlight w:val="lightGray"/>
              </w:rPr>
              <w:t>•]</w:t>
            </w:r>
            <w:r w:rsidRPr="00926049">
              <w:rPr>
                <w:rFonts w:ascii="Verdana" w:hAnsi="Verdana"/>
                <w:b w:val="0"/>
                <w:bCs/>
                <w:i/>
                <w:iCs/>
                <w:sz w:val="18"/>
                <w:szCs w:val="18"/>
              </w:rPr>
              <w:br/>
              <w:t xml:space="preserve">AS “MADARA Cosmetics” 2023. gada </w:t>
            </w:r>
            <w:proofErr w:type="gramStart"/>
            <w:r w:rsidRPr="00926049">
              <w:rPr>
                <w:rFonts w:ascii="Verdana" w:hAnsi="Verdana"/>
                <w:b w:val="0"/>
                <w:bCs/>
                <w:i/>
                <w:iCs/>
                <w:sz w:val="18"/>
                <w:szCs w:val="18"/>
              </w:rPr>
              <w:t>28.jūnija</w:t>
            </w:r>
            <w:proofErr w:type="gramEnd"/>
            <w:r w:rsidRPr="00926049">
              <w:rPr>
                <w:rFonts w:ascii="Verdana" w:hAnsi="Verdana"/>
                <w:b w:val="0"/>
                <w:bCs/>
                <w:i/>
                <w:iCs/>
                <w:sz w:val="18"/>
                <w:szCs w:val="18"/>
              </w:rPr>
              <w:t xml:space="preserve"> kārtējās akcionāru sapulces</w:t>
            </w:r>
            <w:r w:rsidRPr="00926049">
              <w:rPr>
                <w:rFonts w:ascii="Verdana" w:hAnsi="Verdana"/>
                <w:b w:val="0"/>
                <w:bCs/>
                <w:i/>
                <w:iCs/>
                <w:sz w:val="18"/>
                <w:szCs w:val="18"/>
              </w:rPr>
              <w:br/>
              <w:t xml:space="preserve">protokolam Nr. </w:t>
            </w:r>
            <w:r w:rsidRPr="00926049">
              <w:rPr>
                <w:rFonts w:ascii="Verdana" w:hAnsi="Verdana"/>
                <w:b w:val="0"/>
                <w:bCs/>
                <w:i/>
                <w:iCs/>
                <w:sz w:val="18"/>
                <w:szCs w:val="18"/>
                <w:highlight w:val="lightGray"/>
              </w:rPr>
              <w:t>[</w:t>
            </w:r>
            <w:r w:rsidRPr="00926049">
              <w:rPr>
                <w:rFonts w:ascii="Verdana" w:hAnsi="Verdana" w:cs="Arial"/>
                <w:b w:val="0"/>
                <w:bCs/>
                <w:i/>
                <w:iCs/>
                <w:sz w:val="18"/>
                <w:szCs w:val="18"/>
                <w:highlight w:val="lightGray"/>
              </w:rPr>
              <w:t>•]</w:t>
            </w:r>
          </w:p>
        </w:tc>
        <w:tc>
          <w:tcPr>
            <w:tcW w:w="5061" w:type="dxa"/>
          </w:tcPr>
          <w:p w14:paraId="4A1EC689" w14:textId="77777777" w:rsidR="00311294" w:rsidRPr="00124000" w:rsidRDefault="00311294" w:rsidP="00E212A0">
            <w:pPr>
              <w:jc w:val="right"/>
              <w:rPr>
                <w:rFonts w:cs="Arial"/>
                <w:bCs/>
                <w:i/>
                <w:iCs/>
                <w:szCs w:val="18"/>
              </w:rPr>
            </w:pPr>
            <w:r w:rsidRPr="00124000">
              <w:rPr>
                <w:bCs/>
                <w:i/>
                <w:iCs/>
                <w:szCs w:val="18"/>
              </w:rPr>
              <w:t xml:space="preserve">Annex No. </w:t>
            </w:r>
            <w:r w:rsidRPr="00124000">
              <w:rPr>
                <w:bCs/>
                <w:i/>
                <w:iCs/>
                <w:szCs w:val="18"/>
                <w:highlight w:val="lightGray"/>
              </w:rPr>
              <w:t>[</w:t>
            </w:r>
            <w:r w:rsidRPr="00124000">
              <w:rPr>
                <w:rFonts w:cs="Arial"/>
                <w:bCs/>
                <w:i/>
                <w:iCs/>
                <w:szCs w:val="18"/>
                <w:highlight w:val="lightGray"/>
              </w:rPr>
              <w:t>•]</w:t>
            </w:r>
            <w:r w:rsidRPr="00124000">
              <w:rPr>
                <w:rFonts w:cs="Arial"/>
                <w:bCs/>
                <w:i/>
                <w:iCs/>
                <w:szCs w:val="18"/>
              </w:rPr>
              <w:t xml:space="preserve"> </w:t>
            </w:r>
          </w:p>
          <w:p w14:paraId="19B34520" w14:textId="77777777" w:rsidR="00311294" w:rsidRPr="00124000" w:rsidRDefault="00311294" w:rsidP="00E212A0">
            <w:pPr>
              <w:jc w:val="right"/>
              <w:rPr>
                <w:rFonts w:cs="Arial"/>
                <w:bCs/>
                <w:i/>
                <w:iCs/>
                <w:szCs w:val="18"/>
              </w:rPr>
            </w:pPr>
            <w:r w:rsidRPr="00124000">
              <w:rPr>
                <w:rFonts w:cs="Arial"/>
                <w:bCs/>
                <w:i/>
                <w:iCs/>
                <w:szCs w:val="18"/>
              </w:rPr>
              <w:t xml:space="preserve">to </w:t>
            </w:r>
            <w:r w:rsidRPr="00124000">
              <w:rPr>
                <w:bCs/>
                <w:i/>
                <w:iCs/>
                <w:szCs w:val="18"/>
              </w:rPr>
              <w:t xml:space="preserve">AS “MADARA Cosmetics” </w:t>
            </w:r>
          </w:p>
          <w:p w14:paraId="0D6F8E75" w14:textId="77777777" w:rsidR="00311294" w:rsidRPr="00124000" w:rsidRDefault="00311294" w:rsidP="00E212A0">
            <w:pPr>
              <w:jc w:val="right"/>
              <w:rPr>
                <w:rFonts w:cs="Arial"/>
                <w:bCs/>
                <w:i/>
                <w:iCs/>
                <w:szCs w:val="18"/>
              </w:rPr>
            </w:pPr>
            <w:r w:rsidRPr="00124000">
              <w:rPr>
                <w:bCs/>
                <w:i/>
                <w:iCs/>
                <w:szCs w:val="18"/>
              </w:rPr>
              <w:t xml:space="preserve">Annual Shareholders’ Meeting </w:t>
            </w:r>
            <w:proofErr w:type="gramStart"/>
            <w:r w:rsidRPr="00124000">
              <w:rPr>
                <w:bCs/>
                <w:i/>
                <w:iCs/>
                <w:szCs w:val="18"/>
              </w:rPr>
              <w:t>minutes</w:t>
            </w:r>
            <w:proofErr w:type="gramEnd"/>
            <w:r w:rsidRPr="00124000">
              <w:rPr>
                <w:bCs/>
                <w:i/>
                <w:iCs/>
                <w:szCs w:val="18"/>
              </w:rPr>
              <w:t xml:space="preserve"> No. </w:t>
            </w:r>
            <w:r w:rsidRPr="00124000">
              <w:rPr>
                <w:bCs/>
                <w:i/>
                <w:iCs/>
                <w:szCs w:val="18"/>
                <w:highlight w:val="lightGray"/>
              </w:rPr>
              <w:t>[</w:t>
            </w:r>
            <w:r w:rsidRPr="00124000">
              <w:rPr>
                <w:rFonts w:cs="Arial"/>
                <w:bCs/>
                <w:i/>
                <w:iCs/>
                <w:szCs w:val="18"/>
                <w:highlight w:val="lightGray"/>
              </w:rPr>
              <w:t>•]</w:t>
            </w:r>
            <w:r w:rsidRPr="00124000">
              <w:rPr>
                <w:rFonts w:cs="Arial"/>
                <w:bCs/>
                <w:i/>
                <w:iCs/>
                <w:szCs w:val="18"/>
              </w:rPr>
              <w:t xml:space="preserve"> </w:t>
            </w:r>
          </w:p>
          <w:p w14:paraId="0BB8C9F7" w14:textId="77777777" w:rsidR="00311294" w:rsidRPr="00124000" w:rsidRDefault="00311294" w:rsidP="00E212A0">
            <w:pPr>
              <w:jc w:val="right"/>
              <w:rPr>
                <w:bCs/>
                <w:i/>
                <w:iCs/>
                <w:szCs w:val="18"/>
              </w:rPr>
            </w:pPr>
            <w:r w:rsidRPr="00124000">
              <w:rPr>
                <w:bCs/>
                <w:i/>
                <w:iCs/>
                <w:szCs w:val="18"/>
              </w:rPr>
              <w:t xml:space="preserve">held on 28 June 2023 </w:t>
            </w:r>
          </w:p>
          <w:p w14:paraId="65E9F9DF" w14:textId="77777777" w:rsidR="00311294" w:rsidRPr="00124000" w:rsidRDefault="00311294" w:rsidP="00C33718">
            <w:pPr>
              <w:pStyle w:val="Title"/>
              <w:tabs>
                <w:tab w:val="left" w:pos="279"/>
              </w:tabs>
              <w:suppressAutoHyphens/>
              <w:spacing w:before="60"/>
              <w:jc w:val="left"/>
              <w:rPr>
                <w:rFonts w:ascii="Verdana" w:hAnsi="Verdana"/>
                <w:b w:val="0"/>
                <w:bCs/>
                <w:i/>
                <w:iCs/>
                <w:sz w:val="18"/>
                <w:szCs w:val="18"/>
                <w:lang w:val="en-GB"/>
              </w:rPr>
            </w:pPr>
          </w:p>
        </w:tc>
      </w:tr>
      <w:tr w:rsidR="004F2753" w:rsidRPr="00926049" w14:paraId="5CD00173" w14:textId="77777777" w:rsidTr="002B6E4E">
        <w:trPr>
          <w:trHeight w:val="1037"/>
          <w:jc w:val="center"/>
        </w:trPr>
        <w:tc>
          <w:tcPr>
            <w:tcW w:w="5145" w:type="dxa"/>
          </w:tcPr>
          <w:p w14:paraId="62024D57" w14:textId="77777777" w:rsidR="004F2753" w:rsidRPr="00926049" w:rsidRDefault="004F2753" w:rsidP="004A2B64">
            <w:pPr>
              <w:pStyle w:val="Title"/>
              <w:tabs>
                <w:tab w:val="left" w:pos="0"/>
              </w:tabs>
              <w:suppressAutoHyphens/>
              <w:ind w:firstLine="179"/>
              <w:rPr>
                <w:rFonts w:ascii="Verdana" w:hAnsi="Verdana"/>
                <w:sz w:val="18"/>
                <w:szCs w:val="18"/>
              </w:rPr>
            </w:pPr>
            <w:r w:rsidRPr="00926049">
              <w:rPr>
                <w:rFonts w:ascii="Verdana" w:hAnsi="Verdana"/>
                <w:sz w:val="18"/>
                <w:szCs w:val="18"/>
              </w:rPr>
              <w:t xml:space="preserve">AS </w:t>
            </w:r>
            <w:r w:rsidRPr="00926049">
              <w:rPr>
                <w:rFonts w:ascii="Verdana" w:hAnsi="Verdana"/>
                <w:bCs/>
                <w:sz w:val="18"/>
                <w:szCs w:val="18"/>
              </w:rPr>
              <w:t>“MADARA Cosmetics”</w:t>
            </w:r>
          </w:p>
          <w:p w14:paraId="0D5DE537" w14:textId="77777777" w:rsidR="004F2753" w:rsidRPr="00926049" w:rsidRDefault="004F2753" w:rsidP="004A2B64">
            <w:pPr>
              <w:pStyle w:val="Title"/>
              <w:tabs>
                <w:tab w:val="left" w:pos="0"/>
              </w:tabs>
              <w:suppressAutoHyphens/>
              <w:ind w:firstLine="179"/>
              <w:rPr>
                <w:rFonts w:ascii="Verdana" w:hAnsi="Verdana"/>
                <w:b w:val="0"/>
                <w:spacing w:val="-2"/>
                <w:sz w:val="18"/>
                <w:szCs w:val="18"/>
              </w:rPr>
            </w:pPr>
            <w:r w:rsidRPr="00926049">
              <w:rPr>
                <w:rFonts w:ascii="Verdana" w:hAnsi="Verdana"/>
                <w:b w:val="0"/>
                <w:sz w:val="18"/>
                <w:szCs w:val="18"/>
              </w:rPr>
              <w:t xml:space="preserve">Reģistrācijas numurs: </w:t>
            </w:r>
            <w:r w:rsidRPr="00926049">
              <w:rPr>
                <w:rFonts w:ascii="Verdana" w:hAnsi="Verdana"/>
                <w:b w:val="0"/>
                <w:bCs/>
                <w:sz w:val="18"/>
                <w:szCs w:val="18"/>
              </w:rPr>
              <w:t>40003844254</w:t>
            </w:r>
          </w:p>
          <w:p w14:paraId="662F23F4" w14:textId="77777777" w:rsidR="004F2753" w:rsidRPr="00926049" w:rsidRDefault="004F2753" w:rsidP="004A2B64">
            <w:pPr>
              <w:pStyle w:val="Heading1"/>
              <w:tabs>
                <w:tab w:val="left" w:pos="0"/>
              </w:tabs>
              <w:ind w:firstLine="179"/>
              <w:rPr>
                <w:rFonts w:ascii="Verdana" w:hAnsi="Verdana"/>
                <w:b w:val="0"/>
                <w:sz w:val="18"/>
                <w:szCs w:val="18"/>
              </w:rPr>
            </w:pPr>
            <w:r w:rsidRPr="00926049">
              <w:rPr>
                <w:rFonts w:ascii="Verdana" w:hAnsi="Verdana"/>
                <w:b w:val="0"/>
                <w:sz w:val="18"/>
                <w:szCs w:val="18"/>
              </w:rPr>
              <w:t>Juridiskā adrese: Zeltiņu iela 131, Mārupes novads, Mārupe, LV-2167, Latvija</w:t>
            </w:r>
          </w:p>
          <w:p w14:paraId="39833197" w14:textId="77777777" w:rsidR="004F2753" w:rsidRPr="00926049" w:rsidRDefault="004F2753" w:rsidP="004A2B64">
            <w:pPr>
              <w:rPr>
                <w:szCs w:val="18"/>
                <w:lang w:val="lv-LV" w:eastAsia="en-US"/>
              </w:rPr>
            </w:pPr>
          </w:p>
        </w:tc>
        <w:tc>
          <w:tcPr>
            <w:tcW w:w="5061" w:type="dxa"/>
          </w:tcPr>
          <w:p w14:paraId="7912418C" w14:textId="77777777" w:rsidR="004F2753" w:rsidRPr="00124000" w:rsidRDefault="004F2753" w:rsidP="004A2B64">
            <w:pPr>
              <w:pStyle w:val="Title"/>
              <w:tabs>
                <w:tab w:val="left" w:pos="279"/>
              </w:tabs>
              <w:suppressAutoHyphens/>
              <w:ind w:firstLine="279"/>
              <w:rPr>
                <w:rFonts w:ascii="Verdana" w:hAnsi="Verdana"/>
                <w:sz w:val="18"/>
                <w:szCs w:val="18"/>
                <w:lang w:val="en-GB"/>
              </w:rPr>
            </w:pPr>
            <w:r w:rsidRPr="00124000">
              <w:rPr>
                <w:rFonts w:ascii="Verdana" w:hAnsi="Verdana"/>
                <w:sz w:val="18"/>
                <w:szCs w:val="18"/>
                <w:lang w:val="en-GB"/>
              </w:rPr>
              <w:t xml:space="preserve">AS </w:t>
            </w:r>
            <w:r w:rsidRPr="00124000">
              <w:rPr>
                <w:rFonts w:ascii="Verdana" w:hAnsi="Verdana"/>
                <w:bCs/>
                <w:sz w:val="18"/>
                <w:szCs w:val="18"/>
                <w:lang w:val="en-GB"/>
              </w:rPr>
              <w:t>“MADARA Cosmetics”</w:t>
            </w:r>
          </w:p>
          <w:p w14:paraId="4C6993F1" w14:textId="77777777" w:rsidR="004F2753" w:rsidRPr="00124000" w:rsidRDefault="004F2753" w:rsidP="004A2B64">
            <w:pPr>
              <w:pStyle w:val="Title"/>
              <w:tabs>
                <w:tab w:val="left" w:pos="279"/>
              </w:tabs>
              <w:suppressAutoHyphens/>
              <w:ind w:firstLine="279"/>
              <w:rPr>
                <w:rFonts w:ascii="Verdana" w:hAnsi="Verdana"/>
                <w:b w:val="0"/>
                <w:spacing w:val="-2"/>
                <w:sz w:val="18"/>
                <w:szCs w:val="18"/>
                <w:lang w:val="en-GB"/>
              </w:rPr>
            </w:pPr>
            <w:r w:rsidRPr="00124000">
              <w:rPr>
                <w:rFonts w:ascii="Verdana" w:hAnsi="Verdana"/>
                <w:b w:val="0"/>
                <w:sz w:val="18"/>
                <w:szCs w:val="18"/>
                <w:lang w:val="en-GB"/>
              </w:rPr>
              <w:t xml:space="preserve">Registration number: </w:t>
            </w:r>
            <w:r w:rsidRPr="00124000">
              <w:rPr>
                <w:rFonts w:ascii="Verdana" w:hAnsi="Verdana"/>
                <w:b w:val="0"/>
                <w:bCs/>
                <w:sz w:val="18"/>
                <w:szCs w:val="18"/>
                <w:lang w:val="en-GB"/>
              </w:rPr>
              <w:t>40003844254</w:t>
            </w:r>
          </w:p>
          <w:p w14:paraId="095D569A" w14:textId="77777777" w:rsidR="004F2753" w:rsidRPr="00124000" w:rsidRDefault="004F2753" w:rsidP="004A2B64">
            <w:pPr>
              <w:pStyle w:val="Heading1"/>
              <w:tabs>
                <w:tab w:val="left" w:pos="279"/>
              </w:tabs>
              <w:ind w:firstLine="279"/>
              <w:rPr>
                <w:rFonts w:ascii="Verdana" w:hAnsi="Verdana"/>
                <w:sz w:val="18"/>
                <w:szCs w:val="18"/>
                <w:lang w:val="en-GB" w:eastAsia="lv-LV"/>
              </w:rPr>
            </w:pPr>
            <w:r w:rsidRPr="00124000">
              <w:rPr>
                <w:rFonts w:ascii="Verdana" w:hAnsi="Verdana"/>
                <w:b w:val="0"/>
                <w:sz w:val="18"/>
                <w:szCs w:val="18"/>
                <w:lang w:val="en-GB"/>
              </w:rPr>
              <w:t xml:space="preserve">Legal address: 131 </w:t>
            </w:r>
            <w:proofErr w:type="spellStart"/>
            <w:r w:rsidRPr="00124000">
              <w:rPr>
                <w:rFonts w:ascii="Verdana" w:hAnsi="Verdana"/>
                <w:b w:val="0"/>
                <w:sz w:val="18"/>
                <w:szCs w:val="18"/>
                <w:lang w:val="en-GB"/>
              </w:rPr>
              <w:t>Zeltiņu</w:t>
            </w:r>
            <w:proofErr w:type="spellEnd"/>
            <w:r w:rsidRPr="00124000">
              <w:rPr>
                <w:rFonts w:ascii="Verdana" w:hAnsi="Verdana"/>
                <w:b w:val="0"/>
                <w:sz w:val="18"/>
                <w:szCs w:val="18"/>
                <w:lang w:val="en-GB"/>
              </w:rPr>
              <w:t xml:space="preserve"> Street, </w:t>
            </w:r>
            <w:proofErr w:type="spellStart"/>
            <w:r w:rsidRPr="00124000">
              <w:rPr>
                <w:rFonts w:ascii="Verdana" w:hAnsi="Verdana"/>
                <w:b w:val="0"/>
                <w:sz w:val="18"/>
                <w:szCs w:val="18"/>
                <w:lang w:val="en-GB"/>
              </w:rPr>
              <w:t>Mārupe</w:t>
            </w:r>
            <w:proofErr w:type="spellEnd"/>
            <w:r w:rsidRPr="00124000">
              <w:rPr>
                <w:rFonts w:ascii="Verdana" w:hAnsi="Verdana"/>
                <w:b w:val="0"/>
                <w:sz w:val="18"/>
                <w:szCs w:val="18"/>
                <w:lang w:val="en-GB"/>
              </w:rPr>
              <w:t xml:space="preserve"> district, </w:t>
            </w:r>
            <w:proofErr w:type="spellStart"/>
            <w:r w:rsidRPr="00124000">
              <w:rPr>
                <w:rFonts w:ascii="Verdana" w:hAnsi="Verdana"/>
                <w:b w:val="0"/>
                <w:sz w:val="18"/>
                <w:szCs w:val="18"/>
                <w:lang w:val="en-GB"/>
              </w:rPr>
              <w:t>Mārupe</w:t>
            </w:r>
            <w:proofErr w:type="spellEnd"/>
            <w:r w:rsidRPr="00124000">
              <w:rPr>
                <w:rFonts w:ascii="Verdana" w:hAnsi="Verdana"/>
                <w:b w:val="0"/>
                <w:sz w:val="18"/>
                <w:szCs w:val="18"/>
                <w:lang w:val="en-GB"/>
              </w:rPr>
              <w:t>, LV-2167, Latvia</w:t>
            </w:r>
          </w:p>
        </w:tc>
      </w:tr>
      <w:tr w:rsidR="004F2753" w:rsidRPr="00926049" w14:paraId="265B879C" w14:textId="77777777" w:rsidTr="008B5E1E">
        <w:trPr>
          <w:trHeight w:val="56"/>
          <w:jc w:val="center"/>
        </w:trPr>
        <w:tc>
          <w:tcPr>
            <w:tcW w:w="5145" w:type="dxa"/>
          </w:tcPr>
          <w:p w14:paraId="32D478C3" w14:textId="1955D5BE" w:rsidR="004F2753" w:rsidRPr="00926049" w:rsidRDefault="009D622B" w:rsidP="00134863">
            <w:pPr>
              <w:ind w:left="321"/>
              <w:jc w:val="center"/>
              <w:rPr>
                <w:b/>
                <w:bCs/>
                <w:caps/>
                <w:szCs w:val="18"/>
                <w:lang w:val="lv-LV" w:eastAsia="en-US"/>
              </w:rPr>
            </w:pPr>
            <w:r w:rsidRPr="00926049">
              <w:rPr>
                <w:b/>
                <w:bCs/>
                <w:caps/>
                <w:szCs w:val="18"/>
                <w:lang w:val="lv-LV" w:eastAsia="en-US"/>
              </w:rPr>
              <w:t>PERSONĀLA OPCIJU IZLAIŠANAS</w:t>
            </w:r>
            <w:r w:rsidR="004F2753" w:rsidRPr="00926049">
              <w:rPr>
                <w:b/>
                <w:bCs/>
                <w:caps/>
                <w:szCs w:val="18"/>
                <w:lang w:val="lv-LV" w:eastAsia="en-US"/>
              </w:rPr>
              <w:t xml:space="preserve"> noteikumi </w:t>
            </w:r>
          </w:p>
          <w:p w14:paraId="1C299E78" w14:textId="77777777" w:rsidR="004F2753" w:rsidRPr="00926049" w:rsidRDefault="004F2753" w:rsidP="00134863">
            <w:pPr>
              <w:ind w:left="321"/>
              <w:jc w:val="center"/>
              <w:rPr>
                <w:b/>
                <w:bCs/>
                <w:caps/>
                <w:szCs w:val="18"/>
                <w:lang w:val="lv-LV" w:eastAsia="en-US"/>
              </w:rPr>
            </w:pPr>
            <w:r w:rsidRPr="00926049">
              <w:rPr>
                <w:b/>
                <w:bCs/>
                <w:caps/>
                <w:szCs w:val="18"/>
                <w:lang w:val="lv-LV" w:eastAsia="en-US"/>
              </w:rPr>
              <w:t>(turpmāk – “Noteikumi”)</w:t>
            </w:r>
          </w:p>
        </w:tc>
        <w:tc>
          <w:tcPr>
            <w:tcW w:w="5061" w:type="dxa"/>
          </w:tcPr>
          <w:p w14:paraId="4C5C49BC" w14:textId="77777777" w:rsidR="00242A10" w:rsidRDefault="009D622B" w:rsidP="00134863">
            <w:pPr>
              <w:pStyle w:val="Heading1"/>
              <w:ind w:left="420"/>
              <w:rPr>
                <w:rFonts w:ascii="Verdana" w:hAnsi="Verdana"/>
                <w:caps/>
                <w:sz w:val="18"/>
                <w:szCs w:val="18"/>
                <w:lang w:val="en-GB" w:eastAsia="lv-LV"/>
              </w:rPr>
            </w:pPr>
            <w:r w:rsidRPr="00124000">
              <w:rPr>
                <w:rFonts w:ascii="Verdana" w:hAnsi="Verdana"/>
                <w:caps/>
                <w:sz w:val="18"/>
                <w:szCs w:val="18"/>
                <w:lang w:val="en-GB" w:eastAsia="lv-LV"/>
              </w:rPr>
              <w:t xml:space="preserve">TERMS OF ISSUE </w:t>
            </w:r>
          </w:p>
          <w:p w14:paraId="3C8A9950" w14:textId="0B6F6AAE" w:rsidR="004F2753" w:rsidRPr="00124000" w:rsidRDefault="009D622B" w:rsidP="00134863">
            <w:pPr>
              <w:pStyle w:val="Heading1"/>
              <w:ind w:left="420"/>
              <w:rPr>
                <w:rFonts w:ascii="Verdana" w:hAnsi="Verdana"/>
                <w:caps/>
                <w:sz w:val="18"/>
                <w:szCs w:val="18"/>
                <w:lang w:val="en-GB" w:eastAsia="lv-LV"/>
              </w:rPr>
            </w:pPr>
            <w:r w:rsidRPr="00124000">
              <w:rPr>
                <w:rFonts w:ascii="Verdana" w:hAnsi="Verdana"/>
                <w:caps/>
                <w:sz w:val="18"/>
                <w:szCs w:val="18"/>
                <w:lang w:val="en-GB" w:eastAsia="lv-LV"/>
              </w:rPr>
              <w:t>OF EMPLOYEE SHARE OPTIONS</w:t>
            </w:r>
          </w:p>
          <w:p w14:paraId="2C286FF3" w14:textId="77777777" w:rsidR="004F2753" w:rsidRPr="00124000" w:rsidRDefault="004F2753" w:rsidP="00134863">
            <w:pPr>
              <w:pStyle w:val="Heading1"/>
              <w:ind w:left="420"/>
              <w:rPr>
                <w:rFonts w:ascii="Verdana" w:hAnsi="Verdana"/>
                <w:caps/>
                <w:sz w:val="18"/>
                <w:szCs w:val="18"/>
                <w:lang w:val="en-GB" w:eastAsia="lv-LV"/>
              </w:rPr>
            </w:pPr>
            <w:r w:rsidRPr="00124000">
              <w:rPr>
                <w:rFonts w:ascii="Verdana" w:hAnsi="Verdana"/>
                <w:caps/>
                <w:sz w:val="18"/>
                <w:szCs w:val="18"/>
                <w:lang w:val="en-GB" w:eastAsia="lv-LV"/>
              </w:rPr>
              <w:t>(hereinafter – “Terms”)</w:t>
            </w:r>
          </w:p>
        </w:tc>
      </w:tr>
      <w:tr w:rsidR="00247B81" w:rsidRPr="00926049" w14:paraId="6F0BC536" w14:textId="77777777" w:rsidTr="00C33718">
        <w:trPr>
          <w:trHeight w:val="546"/>
          <w:jc w:val="center"/>
        </w:trPr>
        <w:tc>
          <w:tcPr>
            <w:tcW w:w="5145" w:type="dxa"/>
          </w:tcPr>
          <w:p w14:paraId="6A362FA9" w14:textId="77777777" w:rsidR="00247B81" w:rsidRPr="00926049" w:rsidRDefault="00247B81" w:rsidP="00C33718">
            <w:pPr>
              <w:spacing w:before="60"/>
              <w:rPr>
                <w:szCs w:val="18"/>
                <w:lang w:val="lv-LV" w:eastAsia="en-US"/>
              </w:rPr>
            </w:pPr>
            <w:r w:rsidRPr="00926049">
              <w:rPr>
                <w:szCs w:val="18"/>
                <w:lang w:val="lv-LV" w:eastAsia="en-US"/>
              </w:rPr>
              <w:t>Mārupe, Latvija</w:t>
            </w:r>
          </w:p>
          <w:p w14:paraId="206E2658" w14:textId="0DAFB9D7" w:rsidR="00247B81" w:rsidRPr="00C33718" w:rsidRDefault="00247B81" w:rsidP="00C33718">
            <w:pPr>
              <w:spacing w:before="60"/>
              <w:rPr>
                <w:i/>
                <w:iCs/>
                <w:szCs w:val="18"/>
                <w:lang w:val="lv-LV" w:eastAsia="en-US"/>
              </w:rPr>
            </w:pPr>
            <w:r w:rsidRPr="00926049">
              <w:rPr>
                <w:i/>
                <w:iCs/>
                <w:szCs w:val="18"/>
                <w:highlight w:val="lightGray"/>
                <w:lang w:val="lv-LV" w:eastAsia="en-US"/>
              </w:rPr>
              <w:t>[Datums]</w:t>
            </w:r>
          </w:p>
        </w:tc>
        <w:tc>
          <w:tcPr>
            <w:tcW w:w="5061" w:type="dxa"/>
          </w:tcPr>
          <w:p w14:paraId="19980732" w14:textId="77777777" w:rsidR="00247B81" w:rsidRPr="00124000" w:rsidRDefault="00247B81" w:rsidP="00C33718">
            <w:pPr>
              <w:pStyle w:val="Heading1"/>
              <w:spacing w:before="60"/>
              <w:jc w:val="left"/>
              <w:rPr>
                <w:rFonts w:ascii="Verdana" w:hAnsi="Verdana"/>
                <w:b w:val="0"/>
                <w:bCs w:val="0"/>
                <w:sz w:val="18"/>
                <w:szCs w:val="18"/>
                <w:lang w:val="en-GB"/>
              </w:rPr>
            </w:pPr>
            <w:r w:rsidRPr="00086538">
              <w:rPr>
                <w:rFonts w:ascii="Verdana" w:hAnsi="Verdana"/>
                <w:b w:val="0"/>
                <w:bCs w:val="0"/>
                <w:sz w:val="18"/>
                <w:szCs w:val="18"/>
              </w:rPr>
              <w:t>Mārupe</w:t>
            </w:r>
            <w:r w:rsidRPr="00124000">
              <w:rPr>
                <w:rFonts w:ascii="Verdana" w:hAnsi="Verdana"/>
                <w:b w:val="0"/>
                <w:bCs w:val="0"/>
                <w:sz w:val="18"/>
                <w:szCs w:val="18"/>
                <w:lang w:val="en-GB"/>
              </w:rPr>
              <w:t>, Latvia</w:t>
            </w:r>
          </w:p>
          <w:p w14:paraId="3CC1BA10" w14:textId="7858C0FC" w:rsidR="00247B81" w:rsidRPr="00124000" w:rsidRDefault="00247B81" w:rsidP="00C412A6">
            <w:pPr>
              <w:pStyle w:val="Heading1"/>
              <w:spacing w:before="60" w:after="120"/>
              <w:jc w:val="left"/>
              <w:rPr>
                <w:rFonts w:ascii="Verdana" w:hAnsi="Verdana"/>
                <w:b w:val="0"/>
                <w:bCs w:val="0"/>
                <w:caps/>
                <w:sz w:val="18"/>
                <w:szCs w:val="18"/>
                <w:lang w:val="en-GB"/>
                <w14:shadow w14:blurRad="50800" w14:dist="38100" w14:dir="2700000" w14:sx="100000" w14:sy="100000" w14:kx="0" w14:ky="0" w14:algn="tl">
                  <w14:srgbClr w14:val="000000">
                    <w14:alpha w14:val="60000"/>
                  </w14:srgbClr>
                </w14:shadow>
              </w:rPr>
            </w:pPr>
            <w:r w:rsidRPr="00124000">
              <w:rPr>
                <w:rFonts w:ascii="Verdana" w:hAnsi="Verdana"/>
                <w:b w:val="0"/>
                <w:bCs w:val="0"/>
                <w:sz w:val="18"/>
                <w:szCs w:val="18"/>
                <w:highlight w:val="lightGray"/>
                <w:lang w:val="en-GB"/>
              </w:rPr>
              <w:t>[</w:t>
            </w:r>
            <w:r w:rsidRPr="00124000">
              <w:rPr>
                <w:rFonts w:ascii="Verdana" w:hAnsi="Verdana"/>
                <w:b w:val="0"/>
                <w:bCs w:val="0"/>
                <w:i/>
                <w:iCs/>
                <w:sz w:val="18"/>
                <w:szCs w:val="18"/>
                <w:highlight w:val="lightGray"/>
                <w:lang w:val="en-GB"/>
              </w:rPr>
              <w:t>Date</w:t>
            </w:r>
            <w:r w:rsidRPr="00124000">
              <w:rPr>
                <w:rFonts w:ascii="Verdana" w:hAnsi="Verdana"/>
                <w:b w:val="0"/>
                <w:bCs w:val="0"/>
                <w:sz w:val="18"/>
                <w:szCs w:val="18"/>
                <w:highlight w:val="lightGray"/>
                <w:lang w:val="en-GB"/>
              </w:rPr>
              <w:t>]</w:t>
            </w:r>
          </w:p>
        </w:tc>
      </w:tr>
      <w:tr w:rsidR="004F2753" w:rsidRPr="00926049" w14:paraId="3A5BCA34" w14:textId="77777777" w:rsidTr="008B5E1E">
        <w:trPr>
          <w:trHeight w:val="158"/>
          <w:jc w:val="center"/>
        </w:trPr>
        <w:tc>
          <w:tcPr>
            <w:tcW w:w="5145" w:type="dxa"/>
          </w:tcPr>
          <w:p w14:paraId="31999ACF" w14:textId="163BB60F" w:rsidR="004F2753" w:rsidRPr="00926049" w:rsidRDefault="00247B81" w:rsidP="00C33718">
            <w:pPr>
              <w:numPr>
                <w:ilvl w:val="0"/>
                <w:numId w:val="1"/>
              </w:numPr>
              <w:autoSpaceDE w:val="0"/>
              <w:autoSpaceDN w:val="0"/>
              <w:adjustRightInd w:val="0"/>
              <w:snapToGrid w:val="0"/>
              <w:spacing w:before="60"/>
              <w:ind w:left="457"/>
              <w:jc w:val="both"/>
              <w:rPr>
                <w:rFonts w:eastAsia="Times New Roman" w:cs="Times New Roman"/>
                <w:szCs w:val="18"/>
                <w:lang w:val="lv-LV" w:eastAsia="lv-LV"/>
              </w:rPr>
            </w:pPr>
            <w:r w:rsidRPr="00926049">
              <w:rPr>
                <w:rFonts w:eastAsia="Times New Roman" w:cs="Times New Roman"/>
                <w:b/>
                <w:szCs w:val="18"/>
                <w:lang w:val="lv-LV" w:eastAsia="lv-LV"/>
              </w:rPr>
              <w:t>PERSONĀLA OPCIJU IZLAIŠANAS</w:t>
            </w:r>
            <w:r w:rsidR="004F2753" w:rsidRPr="00926049">
              <w:rPr>
                <w:rFonts w:eastAsia="Times New Roman" w:cs="Times New Roman"/>
                <w:b/>
                <w:szCs w:val="18"/>
                <w:lang w:val="lv-LV" w:eastAsia="lv-LV"/>
              </w:rPr>
              <w:t xml:space="preserve"> MĒRĶIS</w:t>
            </w:r>
          </w:p>
        </w:tc>
        <w:tc>
          <w:tcPr>
            <w:tcW w:w="5061" w:type="dxa"/>
          </w:tcPr>
          <w:p w14:paraId="6CD4CA24" w14:textId="37DD0807" w:rsidR="004F2753" w:rsidRPr="00124000" w:rsidRDefault="002B6E4E" w:rsidP="00C33718">
            <w:pPr>
              <w:numPr>
                <w:ilvl w:val="0"/>
                <w:numId w:val="2"/>
              </w:numPr>
              <w:autoSpaceDE w:val="0"/>
              <w:autoSpaceDN w:val="0"/>
              <w:adjustRightInd w:val="0"/>
              <w:snapToGrid w:val="0"/>
              <w:spacing w:before="60"/>
              <w:ind w:left="566"/>
              <w:jc w:val="both"/>
              <w:rPr>
                <w:rFonts w:eastAsia="Times New Roman" w:cs="Times New Roman"/>
                <w:b/>
                <w:caps/>
                <w:szCs w:val="18"/>
                <w:lang w:eastAsia="lv-LV"/>
              </w:rPr>
            </w:pPr>
            <w:bookmarkStart w:id="0" w:name="bookmark14"/>
            <w:bookmarkStart w:id="1" w:name="bookmark15"/>
            <w:r w:rsidRPr="00124000">
              <w:rPr>
                <w:rFonts w:eastAsia="Times New Roman" w:cs="Times New Roman"/>
                <w:b/>
                <w:caps/>
                <w:szCs w:val="18"/>
                <w:lang w:eastAsia="lv-LV" w:bidi="en-US"/>
              </w:rPr>
              <w:t xml:space="preserve">Purpose for the issue of </w:t>
            </w:r>
            <w:r w:rsidR="00CA086C" w:rsidRPr="00124000">
              <w:rPr>
                <w:rFonts w:eastAsia="Times New Roman" w:cs="Times New Roman"/>
                <w:b/>
                <w:caps/>
                <w:szCs w:val="18"/>
                <w:lang w:eastAsia="lv-LV" w:bidi="en-US"/>
              </w:rPr>
              <w:t>SHARE</w:t>
            </w:r>
            <w:r w:rsidRPr="00124000">
              <w:rPr>
                <w:rFonts w:eastAsia="Times New Roman" w:cs="Times New Roman"/>
                <w:b/>
                <w:caps/>
                <w:szCs w:val="18"/>
                <w:lang w:eastAsia="lv-LV" w:bidi="en-US"/>
              </w:rPr>
              <w:t xml:space="preserve"> options</w:t>
            </w:r>
            <w:bookmarkEnd w:id="0"/>
            <w:bookmarkEnd w:id="1"/>
          </w:p>
        </w:tc>
      </w:tr>
      <w:tr w:rsidR="004F2753" w:rsidRPr="00926049" w14:paraId="2B2D6BD9" w14:textId="77777777" w:rsidTr="008B5E1E">
        <w:trPr>
          <w:trHeight w:val="158"/>
          <w:jc w:val="center"/>
        </w:trPr>
        <w:tc>
          <w:tcPr>
            <w:tcW w:w="5145" w:type="dxa"/>
          </w:tcPr>
          <w:p w14:paraId="6E6901EF" w14:textId="02ED9AE7" w:rsidR="004F2753" w:rsidRPr="00926049" w:rsidRDefault="00CA086C" w:rsidP="00C33718">
            <w:pPr>
              <w:numPr>
                <w:ilvl w:val="1"/>
                <w:numId w:val="1"/>
              </w:numPr>
              <w:autoSpaceDE w:val="0"/>
              <w:autoSpaceDN w:val="0"/>
              <w:adjustRightInd w:val="0"/>
              <w:snapToGrid w:val="0"/>
              <w:spacing w:before="60"/>
              <w:jc w:val="both"/>
              <w:rPr>
                <w:rFonts w:eastAsia="Times New Roman" w:cs="Times New Roman"/>
                <w:b/>
                <w:szCs w:val="18"/>
                <w:lang w:val="lv-LV" w:eastAsia="lv-LV"/>
              </w:rPr>
            </w:pPr>
            <w:r w:rsidRPr="00926049">
              <w:rPr>
                <w:szCs w:val="18"/>
                <w:lang w:val="lv-LV"/>
              </w:rPr>
              <w:t xml:space="preserve">Sabiedrības personāla opciju izlaišanas mērķis ir motivēt Sabiedrības darbiniekus un valdes locekļus par veiksmīgiem darba rezultātiem, lojalitāti, ieguldījumu Sabiedrībā, ieinteresējot </w:t>
            </w:r>
            <w:proofErr w:type="gramStart"/>
            <w:r w:rsidRPr="00926049">
              <w:rPr>
                <w:szCs w:val="18"/>
                <w:lang w:val="lv-LV"/>
              </w:rPr>
              <w:t>Sabiedrības</w:t>
            </w:r>
            <w:proofErr w:type="gramEnd"/>
            <w:r w:rsidRPr="00926049">
              <w:rPr>
                <w:szCs w:val="18"/>
                <w:lang w:val="lv-LV"/>
              </w:rPr>
              <w:t xml:space="preserve"> sekmīgas un ilgtspējīgas turpmākās darbības nodrošināšanā</w:t>
            </w:r>
            <w:r w:rsidR="002922F3" w:rsidRPr="00926049">
              <w:rPr>
                <w:color w:val="000000"/>
                <w:szCs w:val="18"/>
                <w:lang w:val="lv-LV" w:eastAsia="lv-LV" w:bidi="lv-LV"/>
              </w:rPr>
              <w:t>.</w:t>
            </w:r>
          </w:p>
        </w:tc>
        <w:tc>
          <w:tcPr>
            <w:tcW w:w="5061" w:type="dxa"/>
          </w:tcPr>
          <w:p w14:paraId="0DB7C240" w14:textId="0406B8E3" w:rsidR="008146AF" w:rsidRPr="00124000" w:rsidRDefault="002B6E4E" w:rsidP="00C33718">
            <w:pPr>
              <w:numPr>
                <w:ilvl w:val="1"/>
                <w:numId w:val="2"/>
              </w:numPr>
              <w:autoSpaceDE w:val="0"/>
              <w:autoSpaceDN w:val="0"/>
              <w:adjustRightInd w:val="0"/>
              <w:snapToGrid w:val="0"/>
              <w:spacing w:before="60"/>
              <w:ind w:left="704"/>
              <w:jc w:val="both"/>
              <w:rPr>
                <w:color w:val="000000"/>
                <w:szCs w:val="18"/>
                <w:lang w:eastAsia="en-US" w:bidi="en-US"/>
              </w:rPr>
            </w:pPr>
            <w:r w:rsidRPr="00124000">
              <w:rPr>
                <w:rFonts w:eastAsia="Times New Roman" w:cs="Times New Roman"/>
                <w:bCs/>
                <w:szCs w:val="18"/>
                <w:lang w:eastAsia="lv-LV" w:bidi="en-US"/>
              </w:rPr>
              <w:t>The</w:t>
            </w:r>
            <w:r w:rsidRPr="00124000">
              <w:rPr>
                <w:color w:val="000000"/>
                <w:szCs w:val="18"/>
                <w:lang w:eastAsia="en-US" w:bidi="en-US"/>
              </w:rPr>
              <w:t xml:space="preserve"> </w:t>
            </w:r>
            <w:r w:rsidR="008146AF" w:rsidRPr="00124000">
              <w:rPr>
                <w:color w:val="000000"/>
                <w:szCs w:val="18"/>
                <w:lang w:eastAsia="en-US" w:bidi="en-US"/>
              </w:rPr>
              <w:t>employee share</w:t>
            </w:r>
            <w:r w:rsidRPr="00124000">
              <w:rPr>
                <w:color w:val="000000"/>
                <w:szCs w:val="18"/>
                <w:lang w:eastAsia="en-US" w:bidi="en-US"/>
              </w:rPr>
              <w:t xml:space="preserve"> options are issued in order to motivate the Company employees</w:t>
            </w:r>
            <w:r w:rsidR="008146AF" w:rsidRPr="00124000">
              <w:rPr>
                <w:color w:val="000000"/>
                <w:szCs w:val="18"/>
                <w:lang w:eastAsia="en-US" w:bidi="en-US"/>
              </w:rPr>
              <w:t xml:space="preserve"> and management board members for </w:t>
            </w:r>
            <w:r w:rsidR="008146AF" w:rsidRPr="00124000">
              <w:rPr>
                <w:color w:val="000000"/>
                <w:szCs w:val="18"/>
                <w:lang w:eastAsia="en-US" w:bidi="en-US"/>
              </w:rPr>
              <w:t xml:space="preserve">successful work results, loyalty, </w:t>
            </w:r>
            <w:r w:rsidR="008146AF" w:rsidRPr="00124000">
              <w:rPr>
                <w:color w:val="000000"/>
                <w:szCs w:val="18"/>
                <w:lang w:eastAsia="en-US" w:bidi="en-US"/>
              </w:rPr>
              <w:t>contribution</w:t>
            </w:r>
            <w:r w:rsidR="008146AF" w:rsidRPr="00124000">
              <w:rPr>
                <w:color w:val="000000"/>
                <w:szCs w:val="18"/>
                <w:lang w:eastAsia="en-US" w:bidi="en-US"/>
              </w:rPr>
              <w:t xml:space="preserve"> in the Company, taking an interest in ensuring the Company's successful and sustainable future operations.</w:t>
            </w:r>
          </w:p>
          <w:p w14:paraId="4D7C0DE2" w14:textId="6EDC33C0" w:rsidR="004F2753" w:rsidRPr="00124000" w:rsidRDefault="004F2753" w:rsidP="00C33718">
            <w:pPr>
              <w:autoSpaceDE w:val="0"/>
              <w:autoSpaceDN w:val="0"/>
              <w:adjustRightInd w:val="0"/>
              <w:snapToGrid w:val="0"/>
              <w:spacing w:before="60"/>
              <w:ind w:left="704"/>
              <w:jc w:val="both"/>
              <w:rPr>
                <w:rFonts w:eastAsia="Times New Roman" w:cs="Times New Roman"/>
                <w:b/>
                <w:szCs w:val="18"/>
                <w:lang w:eastAsia="lv-LV"/>
              </w:rPr>
            </w:pPr>
          </w:p>
        </w:tc>
      </w:tr>
      <w:tr w:rsidR="002922F3" w:rsidRPr="00926049" w14:paraId="181761CF" w14:textId="77777777" w:rsidTr="008B5E1E">
        <w:trPr>
          <w:trHeight w:val="158"/>
          <w:jc w:val="center"/>
        </w:trPr>
        <w:tc>
          <w:tcPr>
            <w:tcW w:w="5145" w:type="dxa"/>
          </w:tcPr>
          <w:p w14:paraId="0D53E5C9" w14:textId="23C1E9FF" w:rsidR="002922F3" w:rsidRPr="00926049" w:rsidRDefault="002922F3" w:rsidP="00C33718">
            <w:pPr>
              <w:numPr>
                <w:ilvl w:val="1"/>
                <w:numId w:val="1"/>
              </w:numPr>
              <w:autoSpaceDE w:val="0"/>
              <w:autoSpaceDN w:val="0"/>
              <w:adjustRightInd w:val="0"/>
              <w:snapToGrid w:val="0"/>
              <w:spacing w:before="60"/>
              <w:jc w:val="both"/>
              <w:rPr>
                <w:rFonts w:eastAsia="Times New Roman" w:cs="Times New Roman"/>
                <w:bCs/>
                <w:szCs w:val="18"/>
                <w:lang w:val="lv-LV" w:eastAsia="lv-LV"/>
              </w:rPr>
            </w:pPr>
            <w:r w:rsidRPr="00926049">
              <w:rPr>
                <w:rFonts w:eastAsia="Times New Roman" w:cs="Times New Roman"/>
                <w:bCs/>
                <w:szCs w:val="18"/>
                <w:lang w:val="lv-LV" w:eastAsia="lv-LV"/>
              </w:rPr>
              <w:t>Atbilstoši Komerclikuma</w:t>
            </w:r>
            <w:r w:rsidR="00292C50">
              <w:rPr>
                <w:rFonts w:eastAsia="Times New Roman" w:cs="Times New Roman"/>
                <w:bCs/>
                <w:szCs w:val="18"/>
                <w:lang w:val="lv-LV" w:eastAsia="lv-LV"/>
              </w:rPr>
              <w:t>m</w:t>
            </w:r>
            <w:r w:rsidRPr="00926049">
              <w:rPr>
                <w:rFonts w:eastAsia="Times New Roman" w:cs="Times New Roman"/>
                <w:bCs/>
                <w:szCs w:val="18"/>
                <w:lang w:val="lv-LV" w:eastAsia="lv-LV"/>
              </w:rPr>
              <w:t xml:space="preserve"> personāla opciju piešķiršana dod tiesības Sabiedrības personāla opciju turētājiem iegūt noteiktu skaitu Sabiedrības jaunās emisijas dematerializētas uzrādītāja akcijas un ienākumu no šo akciju atsavināšanas.</w:t>
            </w:r>
          </w:p>
        </w:tc>
        <w:tc>
          <w:tcPr>
            <w:tcW w:w="5061" w:type="dxa"/>
          </w:tcPr>
          <w:p w14:paraId="66A30C2F" w14:textId="6EEC3F40" w:rsidR="002922F3" w:rsidRPr="00124000" w:rsidRDefault="0050400B" w:rsidP="00C33718">
            <w:pPr>
              <w:numPr>
                <w:ilvl w:val="1"/>
                <w:numId w:val="2"/>
              </w:numPr>
              <w:autoSpaceDE w:val="0"/>
              <w:autoSpaceDN w:val="0"/>
              <w:adjustRightInd w:val="0"/>
              <w:snapToGrid w:val="0"/>
              <w:spacing w:before="60"/>
              <w:ind w:left="704"/>
              <w:jc w:val="both"/>
              <w:rPr>
                <w:rFonts w:eastAsia="Times New Roman" w:cs="Times New Roman"/>
                <w:b/>
                <w:szCs w:val="18"/>
                <w:lang w:eastAsia="lv-LV"/>
              </w:rPr>
            </w:pPr>
            <w:r w:rsidRPr="00124000">
              <w:rPr>
                <w:rStyle w:val="rynqvb"/>
                <w:szCs w:val="18"/>
              </w:rPr>
              <w:t xml:space="preserve">In accordance with the Commercial Law, the granting of </w:t>
            </w:r>
            <w:r w:rsidR="00FD7715" w:rsidRPr="00124000">
              <w:rPr>
                <w:rStyle w:val="rynqvb"/>
                <w:szCs w:val="18"/>
              </w:rPr>
              <w:t>s</w:t>
            </w:r>
            <w:r w:rsidR="00FD7715" w:rsidRPr="00124000">
              <w:rPr>
                <w:rStyle w:val="rynqvb"/>
              </w:rPr>
              <w:t>hare</w:t>
            </w:r>
            <w:r w:rsidRPr="00124000">
              <w:rPr>
                <w:rStyle w:val="rynqvb"/>
                <w:szCs w:val="18"/>
              </w:rPr>
              <w:t xml:space="preserve"> options entitles the holders of the Company's </w:t>
            </w:r>
            <w:r w:rsidR="00FD7715" w:rsidRPr="00124000">
              <w:rPr>
                <w:rStyle w:val="rynqvb"/>
                <w:szCs w:val="18"/>
              </w:rPr>
              <w:t>s</w:t>
            </w:r>
            <w:r w:rsidR="00FD7715" w:rsidRPr="00124000">
              <w:rPr>
                <w:rStyle w:val="rynqvb"/>
              </w:rPr>
              <w:t>hare</w:t>
            </w:r>
            <w:r w:rsidRPr="00124000">
              <w:rPr>
                <w:rStyle w:val="rynqvb"/>
                <w:szCs w:val="18"/>
              </w:rPr>
              <w:t xml:space="preserve"> options to obtain a certain number of dematerialized bearer shares of the Company's new issue and income from the disposal of these shares.</w:t>
            </w:r>
          </w:p>
        </w:tc>
      </w:tr>
      <w:tr w:rsidR="004F2753" w:rsidRPr="00926049" w14:paraId="5E5CABEA" w14:textId="77777777" w:rsidTr="008B5E1E">
        <w:trPr>
          <w:trHeight w:val="158"/>
          <w:jc w:val="center"/>
        </w:trPr>
        <w:tc>
          <w:tcPr>
            <w:tcW w:w="5145" w:type="dxa"/>
          </w:tcPr>
          <w:p w14:paraId="0BDAE17C" w14:textId="3DD2B918" w:rsidR="004F2753" w:rsidRPr="00926049" w:rsidRDefault="00247B81" w:rsidP="00AF3B68">
            <w:pPr>
              <w:numPr>
                <w:ilvl w:val="0"/>
                <w:numId w:val="1"/>
              </w:numPr>
              <w:autoSpaceDE w:val="0"/>
              <w:autoSpaceDN w:val="0"/>
              <w:adjustRightInd w:val="0"/>
              <w:snapToGrid w:val="0"/>
              <w:spacing w:before="120" w:after="120"/>
              <w:ind w:left="457" w:hanging="357"/>
              <w:jc w:val="both"/>
              <w:rPr>
                <w:rFonts w:eastAsia="Times New Roman" w:cs="Times New Roman"/>
                <w:b/>
                <w:caps/>
                <w:szCs w:val="18"/>
                <w:lang w:val="lv-LV" w:eastAsia="lv-LV"/>
              </w:rPr>
            </w:pPr>
            <w:bookmarkStart w:id="2" w:name="bookmark8"/>
            <w:bookmarkStart w:id="3" w:name="bookmark9"/>
            <w:r w:rsidRPr="00926049">
              <w:rPr>
                <w:rFonts w:eastAsia="Times New Roman" w:cs="Times New Roman"/>
                <w:b/>
                <w:caps/>
                <w:szCs w:val="18"/>
                <w:lang w:val="lv-LV" w:eastAsia="lv-LV" w:bidi="lv-LV"/>
              </w:rPr>
              <w:t>Personas, kuras var iegūt personāla opcijas</w:t>
            </w:r>
            <w:bookmarkEnd w:id="2"/>
            <w:bookmarkEnd w:id="3"/>
            <w:r w:rsidR="004F2753" w:rsidRPr="00926049">
              <w:rPr>
                <w:rFonts w:eastAsia="Times New Roman" w:cs="Times New Roman"/>
                <w:b/>
                <w:caps/>
                <w:szCs w:val="18"/>
                <w:lang w:val="lv-LV" w:eastAsia="lv-LV"/>
              </w:rPr>
              <w:t xml:space="preserve"> </w:t>
            </w:r>
          </w:p>
        </w:tc>
        <w:tc>
          <w:tcPr>
            <w:tcW w:w="5061" w:type="dxa"/>
          </w:tcPr>
          <w:p w14:paraId="6708F99B" w14:textId="6DD6D665" w:rsidR="004F2753" w:rsidRPr="00124000" w:rsidRDefault="002B6E4E" w:rsidP="00AF3B68">
            <w:pPr>
              <w:numPr>
                <w:ilvl w:val="0"/>
                <w:numId w:val="2"/>
              </w:numPr>
              <w:autoSpaceDE w:val="0"/>
              <w:autoSpaceDN w:val="0"/>
              <w:adjustRightInd w:val="0"/>
              <w:snapToGrid w:val="0"/>
              <w:spacing w:before="120" w:after="120"/>
              <w:ind w:left="566" w:hanging="357"/>
              <w:jc w:val="both"/>
              <w:rPr>
                <w:rFonts w:eastAsia="Times New Roman" w:cs="Times New Roman"/>
                <w:b/>
                <w:szCs w:val="18"/>
                <w:lang w:eastAsia="lv-LV"/>
              </w:rPr>
            </w:pPr>
            <w:r w:rsidRPr="00124000">
              <w:rPr>
                <w:rFonts w:eastAsia="Times New Roman" w:cs="Times New Roman"/>
                <w:b/>
                <w:caps/>
                <w:szCs w:val="18"/>
                <w:lang w:eastAsia="lv-LV" w:bidi="en-US"/>
              </w:rPr>
              <w:t xml:space="preserve">persons entitled to acquire </w:t>
            </w:r>
            <w:r w:rsidR="00DD3866" w:rsidRPr="00124000">
              <w:rPr>
                <w:rFonts w:eastAsia="Times New Roman" w:cs="Times New Roman"/>
                <w:b/>
                <w:caps/>
                <w:szCs w:val="18"/>
                <w:lang w:eastAsia="lv-LV" w:bidi="en-US"/>
              </w:rPr>
              <w:t>Share</w:t>
            </w:r>
            <w:r w:rsidRPr="00124000">
              <w:rPr>
                <w:rFonts w:eastAsia="Times New Roman" w:cs="Times New Roman"/>
                <w:b/>
                <w:caps/>
                <w:szCs w:val="18"/>
                <w:lang w:eastAsia="lv-LV" w:bidi="en-US"/>
              </w:rPr>
              <w:t xml:space="preserve"> options</w:t>
            </w:r>
          </w:p>
        </w:tc>
      </w:tr>
      <w:tr w:rsidR="004F2753" w:rsidRPr="00926049" w14:paraId="30A594A0" w14:textId="77777777" w:rsidTr="008B5E1E">
        <w:trPr>
          <w:trHeight w:val="158"/>
          <w:jc w:val="center"/>
        </w:trPr>
        <w:tc>
          <w:tcPr>
            <w:tcW w:w="5145" w:type="dxa"/>
          </w:tcPr>
          <w:p w14:paraId="3054EBF0" w14:textId="2307744C" w:rsidR="004F2753" w:rsidRPr="00926049" w:rsidRDefault="00247B81" w:rsidP="00C33718">
            <w:pPr>
              <w:numPr>
                <w:ilvl w:val="1"/>
                <w:numId w:val="4"/>
              </w:numPr>
              <w:autoSpaceDE w:val="0"/>
              <w:autoSpaceDN w:val="0"/>
              <w:adjustRightInd w:val="0"/>
              <w:snapToGrid w:val="0"/>
              <w:spacing w:before="60"/>
              <w:ind w:left="777"/>
              <w:jc w:val="both"/>
              <w:rPr>
                <w:rFonts w:eastAsia="Times New Roman" w:cs="Times New Roman"/>
                <w:b/>
                <w:bCs/>
                <w:szCs w:val="18"/>
                <w:lang w:val="lv-LV" w:eastAsia="lv-LV"/>
              </w:rPr>
            </w:pPr>
            <w:r w:rsidRPr="00926049">
              <w:rPr>
                <w:rFonts w:eastAsia="Times New Roman" w:cs="Times New Roman"/>
                <w:bCs/>
                <w:szCs w:val="18"/>
                <w:lang w:val="lv-LV" w:eastAsia="lv-LV" w:bidi="lv-LV"/>
              </w:rPr>
              <w:t xml:space="preserve">Personāla opcijas var iegūt Sabiedrības darbinieki un </w:t>
            </w:r>
            <w:r w:rsidR="00DD3866">
              <w:rPr>
                <w:rFonts w:eastAsia="Times New Roman" w:cs="Times New Roman"/>
                <w:bCs/>
                <w:szCs w:val="18"/>
                <w:lang w:val="lv-LV" w:eastAsia="lv-LV" w:bidi="lv-LV"/>
              </w:rPr>
              <w:t>vald</w:t>
            </w:r>
            <w:r w:rsidRPr="00926049">
              <w:rPr>
                <w:rFonts w:eastAsia="Times New Roman" w:cs="Times New Roman"/>
                <w:bCs/>
                <w:szCs w:val="18"/>
                <w:lang w:val="lv-LV" w:eastAsia="lv-LV" w:bidi="lv-LV"/>
              </w:rPr>
              <w:t xml:space="preserve">es locekļi, kuri ir snieguši būtisku ieguldījumu Sabiedrībā (turpmāk tekstā - </w:t>
            </w:r>
            <w:r w:rsidRPr="00926049">
              <w:rPr>
                <w:rFonts w:eastAsia="Times New Roman" w:cs="Times New Roman"/>
                <w:b/>
                <w:bCs/>
                <w:szCs w:val="18"/>
                <w:lang w:val="lv-LV" w:eastAsia="lv-LV" w:bidi="lv-LV"/>
              </w:rPr>
              <w:t>Opciju turētāji)</w:t>
            </w:r>
            <w:r w:rsidR="004F2753" w:rsidRPr="00926049">
              <w:rPr>
                <w:rFonts w:eastAsia="Times New Roman" w:cs="Times New Roman"/>
                <w:bCs/>
                <w:szCs w:val="18"/>
                <w:lang w:val="lv-LV" w:eastAsia="lv-LV"/>
              </w:rPr>
              <w:t>.</w:t>
            </w:r>
          </w:p>
        </w:tc>
        <w:tc>
          <w:tcPr>
            <w:tcW w:w="5061" w:type="dxa"/>
          </w:tcPr>
          <w:p w14:paraId="44EC19C6" w14:textId="30B5812B" w:rsidR="004F2753" w:rsidRPr="00124000" w:rsidRDefault="002B6E4E" w:rsidP="00C33718">
            <w:pPr>
              <w:numPr>
                <w:ilvl w:val="1"/>
                <w:numId w:val="5"/>
              </w:numPr>
              <w:autoSpaceDE w:val="0"/>
              <w:autoSpaceDN w:val="0"/>
              <w:adjustRightInd w:val="0"/>
              <w:snapToGrid w:val="0"/>
              <w:spacing w:before="60"/>
              <w:ind w:left="702"/>
              <w:jc w:val="both"/>
              <w:rPr>
                <w:rFonts w:eastAsia="Times New Roman" w:cs="Times New Roman"/>
                <w:bCs/>
                <w:szCs w:val="18"/>
                <w:lang w:eastAsia="lv-LV"/>
              </w:rPr>
            </w:pPr>
            <w:r w:rsidRPr="00124000">
              <w:rPr>
                <w:rFonts w:eastAsia="Times New Roman" w:cs="Times New Roman"/>
                <w:bCs/>
                <w:szCs w:val="18"/>
                <w:lang w:eastAsia="lv-LV" w:bidi="en-US"/>
              </w:rPr>
              <w:t xml:space="preserve">The </w:t>
            </w:r>
            <w:r w:rsidR="00DD3866" w:rsidRPr="00124000">
              <w:rPr>
                <w:rFonts w:eastAsia="Times New Roman" w:cs="Times New Roman"/>
                <w:bCs/>
                <w:szCs w:val="18"/>
                <w:lang w:eastAsia="lv-LV" w:bidi="en-US"/>
              </w:rPr>
              <w:t>share</w:t>
            </w:r>
            <w:r w:rsidRPr="00124000">
              <w:rPr>
                <w:rFonts w:eastAsia="Times New Roman" w:cs="Times New Roman"/>
                <w:bCs/>
                <w:szCs w:val="18"/>
                <w:lang w:eastAsia="lv-LV" w:bidi="en-US"/>
              </w:rPr>
              <w:t xml:space="preserve"> options may be acquired by the employees and </w:t>
            </w:r>
            <w:r w:rsidR="00DD3866" w:rsidRPr="00124000">
              <w:rPr>
                <w:rFonts w:eastAsia="Times New Roman" w:cs="Times New Roman"/>
                <w:bCs/>
                <w:szCs w:val="18"/>
                <w:lang w:eastAsia="lv-LV" w:bidi="en-US"/>
              </w:rPr>
              <w:t>management</w:t>
            </w:r>
            <w:r w:rsidRPr="00124000">
              <w:rPr>
                <w:rFonts w:eastAsia="Times New Roman" w:cs="Times New Roman"/>
                <w:bCs/>
                <w:szCs w:val="18"/>
                <w:lang w:eastAsia="lv-LV" w:bidi="en-US"/>
              </w:rPr>
              <w:t xml:space="preserve"> board members of the Company who have made substantial contribution to the Company (hereinafter</w:t>
            </w:r>
            <w:r w:rsidR="00124000" w:rsidRPr="00124000">
              <w:rPr>
                <w:rFonts w:eastAsia="Times New Roman" w:cs="Times New Roman"/>
                <w:bCs/>
                <w:szCs w:val="18"/>
                <w:lang w:eastAsia="lv-LV" w:bidi="en-US"/>
              </w:rPr>
              <w:t xml:space="preserve"> -</w:t>
            </w:r>
            <w:r w:rsidRPr="00124000">
              <w:rPr>
                <w:rFonts w:eastAsia="Times New Roman" w:cs="Times New Roman"/>
                <w:bCs/>
                <w:szCs w:val="18"/>
                <w:lang w:eastAsia="lv-LV" w:bidi="en-US"/>
              </w:rPr>
              <w:t xml:space="preserve"> the </w:t>
            </w:r>
            <w:r w:rsidRPr="00124000">
              <w:rPr>
                <w:rFonts w:eastAsia="Times New Roman" w:cs="Times New Roman"/>
                <w:b/>
                <w:bCs/>
                <w:szCs w:val="18"/>
                <w:lang w:eastAsia="lv-LV" w:bidi="en-US"/>
              </w:rPr>
              <w:t>Option Holders</w:t>
            </w:r>
            <w:r w:rsidRPr="00124000">
              <w:rPr>
                <w:rFonts w:eastAsia="Times New Roman" w:cs="Times New Roman"/>
                <w:szCs w:val="18"/>
                <w:lang w:eastAsia="lv-LV" w:bidi="en-US"/>
              </w:rPr>
              <w:t>).</w:t>
            </w:r>
          </w:p>
        </w:tc>
      </w:tr>
      <w:tr w:rsidR="00124000" w:rsidRPr="00124000" w14:paraId="018EB186" w14:textId="77777777" w:rsidTr="008B5E1E">
        <w:trPr>
          <w:trHeight w:val="158"/>
          <w:jc w:val="center"/>
        </w:trPr>
        <w:tc>
          <w:tcPr>
            <w:tcW w:w="5145" w:type="dxa"/>
          </w:tcPr>
          <w:p w14:paraId="662FAFB9" w14:textId="0985FD68" w:rsidR="00124000" w:rsidRPr="00926049" w:rsidRDefault="00124000" w:rsidP="00C33718">
            <w:pPr>
              <w:numPr>
                <w:ilvl w:val="1"/>
                <w:numId w:val="4"/>
              </w:numPr>
              <w:autoSpaceDE w:val="0"/>
              <w:autoSpaceDN w:val="0"/>
              <w:adjustRightInd w:val="0"/>
              <w:snapToGrid w:val="0"/>
              <w:spacing w:before="60"/>
              <w:ind w:left="777"/>
              <w:jc w:val="both"/>
              <w:rPr>
                <w:rFonts w:eastAsia="Times New Roman" w:cs="Times New Roman"/>
                <w:bCs/>
                <w:szCs w:val="18"/>
                <w:lang w:val="lv-LV" w:eastAsia="lv-LV" w:bidi="lv-LV"/>
              </w:rPr>
            </w:pPr>
            <w:r w:rsidRPr="00124000">
              <w:rPr>
                <w:rFonts w:eastAsia="Times New Roman" w:cs="Times New Roman"/>
                <w:bCs/>
                <w:szCs w:val="18"/>
                <w:lang w:val="lv-LV" w:eastAsia="lv-LV" w:bidi="lv-LV"/>
              </w:rPr>
              <w:t xml:space="preserve">Opciju turētājs ir tiesīgs iegūt Sabiedrības jaunās emisijas akcijas vai daļu no tām (veikt personāla opciju konversiju) bez maksas pēc viņam piešķirto personāla opciju minimālā turēšanas perioda beigām, kas ir 12 mēneši (turpmāk - </w:t>
            </w:r>
            <w:r w:rsidRPr="00124000">
              <w:rPr>
                <w:rFonts w:eastAsia="Times New Roman" w:cs="Times New Roman"/>
                <w:b/>
                <w:szCs w:val="18"/>
                <w:lang w:val="lv-LV" w:eastAsia="lv-LV" w:bidi="lv-LV"/>
              </w:rPr>
              <w:t>Turēšanas periods</w:t>
            </w:r>
            <w:r w:rsidRPr="00124000">
              <w:rPr>
                <w:rFonts w:eastAsia="Times New Roman" w:cs="Times New Roman"/>
                <w:bCs/>
                <w:szCs w:val="18"/>
                <w:lang w:val="lv-LV" w:eastAsia="lv-LV" w:bidi="lv-LV"/>
              </w:rPr>
              <w:t>) no to</w:t>
            </w:r>
            <w:r>
              <w:rPr>
                <w:rFonts w:eastAsia="Times New Roman" w:cs="Times New Roman"/>
                <w:bCs/>
                <w:szCs w:val="18"/>
                <w:lang w:val="lv-LV" w:eastAsia="lv-LV" w:bidi="lv-LV"/>
              </w:rPr>
              <w:t xml:space="preserve"> </w:t>
            </w:r>
            <w:r w:rsidRPr="00124000">
              <w:rPr>
                <w:rFonts w:eastAsia="Times New Roman" w:cs="Times New Roman"/>
                <w:bCs/>
                <w:szCs w:val="18"/>
                <w:lang w:val="lv-LV" w:eastAsia="lv-LV" w:bidi="lv-LV"/>
              </w:rPr>
              <w:t>piešķiršanas brīža, iesniedzot par to pieteikumu Sabiedrībai. Ja atbilstoši valdes vai padomes lēmumam opciju konversija ir noteikta daļās, tad opciju turētājs ir tiesīgs iegūt attiecīgo (otro) daļu pēc atkārtotiem 12 mēnešiem un attiecīgo (trešo) daļu vēl pēc atkārtotiem 12 mēnešiem, sākot no nākamās dienas pēc iepriekšējā Turēšanas perioda</w:t>
            </w:r>
            <w:r>
              <w:rPr>
                <w:rFonts w:eastAsia="Times New Roman" w:cs="Times New Roman"/>
                <w:bCs/>
                <w:szCs w:val="18"/>
                <w:lang w:val="lv-LV" w:eastAsia="lv-LV" w:bidi="lv-LV"/>
              </w:rPr>
              <w:t>.</w:t>
            </w:r>
          </w:p>
        </w:tc>
        <w:tc>
          <w:tcPr>
            <w:tcW w:w="5061" w:type="dxa"/>
          </w:tcPr>
          <w:p w14:paraId="4E753568" w14:textId="7C7A6FB7" w:rsidR="00124000" w:rsidRPr="00124000" w:rsidRDefault="00124000" w:rsidP="00C33718">
            <w:pPr>
              <w:numPr>
                <w:ilvl w:val="1"/>
                <w:numId w:val="5"/>
              </w:numPr>
              <w:autoSpaceDE w:val="0"/>
              <w:autoSpaceDN w:val="0"/>
              <w:adjustRightInd w:val="0"/>
              <w:snapToGrid w:val="0"/>
              <w:spacing w:before="60"/>
              <w:ind w:left="702"/>
              <w:jc w:val="both"/>
              <w:rPr>
                <w:rFonts w:eastAsia="Times New Roman" w:cs="Times New Roman"/>
                <w:bCs/>
                <w:szCs w:val="18"/>
                <w:lang w:eastAsia="lv-LV" w:bidi="en-US"/>
              </w:rPr>
            </w:pPr>
            <w:r w:rsidRPr="00124000">
              <w:rPr>
                <w:rFonts w:eastAsia="Times New Roman" w:cs="Times New Roman"/>
                <w:bCs/>
                <w:szCs w:val="18"/>
                <w:lang w:eastAsia="lv-LV" w:bidi="en-US"/>
              </w:rPr>
              <w:t xml:space="preserve">The Option </w:t>
            </w:r>
            <w:r>
              <w:rPr>
                <w:rFonts w:eastAsia="Times New Roman" w:cs="Times New Roman"/>
                <w:bCs/>
                <w:szCs w:val="18"/>
                <w:lang w:eastAsia="lv-LV" w:bidi="en-US"/>
              </w:rPr>
              <w:t>H</w:t>
            </w:r>
            <w:r w:rsidRPr="00124000">
              <w:rPr>
                <w:rFonts w:eastAsia="Times New Roman" w:cs="Times New Roman"/>
                <w:bCs/>
                <w:szCs w:val="18"/>
                <w:lang w:eastAsia="lv-LV" w:bidi="en-US"/>
              </w:rPr>
              <w:t xml:space="preserve">older is entitled to acquire the shares of the new issue of the Company or a part of them (to perform the conversion of share options) free of charge after the end of the minimum holding period of the share options granted to him, which is 12 months (hereinafter - </w:t>
            </w:r>
            <w:r w:rsidRPr="00124000">
              <w:rPr>
                <w:rFonts w:eastAsia="Times New Roman" w:cs="Times New Roman"/>
                <w:b/>
                <w:szCs w:val="18"/>
                <w:lang w:eastAsia="lv-LV" w:bidi="en-US"/>
              </w:rPr>
              <w:t>Holding Period</w:t>
            </w:r>
            <w:r w:rsidRPr="00124000">
              <w:rPr>
                <w:rFonts w:eastAsia="Times New Roman" w:cs="Times New Roman"/>
                <w:bCs/>
                <w:szCs w:val="18"/>
                <w:lang w:eastAsia="lv-LV" w:bidi="en-US"/>
              </w:rPr>
              <w:t xml:space="preserve">) from the moment of allocation, by submitting an application to the Company. If, according to the decision of the management board or supervisory board, the option conversion is determined in parts, then the Option </w:t>
            </w:r>
            <w:r>
              <w:rPr>
                <w:rFonts w:eastAsia="Times New Roman" w:cs="Times New Roman"/>
                <w:bCs/>
                <w:szCs w:val="18"/>
                <w:lang w:eastAsia="lv-LV" w:bidi="en-US"/>
              </w:rPr>
              <w:t>H</w:t>
            </w:r>
            <w:r w:rsidRPr="00124000">
              <w:rPr>
                <w:rFonts w:eastAsia="Times New Roman" w:cs="Times New Roman"/>
                <w:bCs/>
                <w:szCs w:val="18"/>
                <w:lang w:eastAsia="lv-LV" w:bidi="en-US"/>
              </w:rPr>
              <w:t>older is entitled to receive the respective (second) part after a recurring 12 months and respective (third) part after further 12 months, starting from the day after the previous Holding Period</w:t>
            </w:r>
            <w:r w:rsidR="00056B70">
              <w:rPr>
                <w:rFonts w:eastAsia="Times New Roman" w:cs="Times New Roman"/>
                <w:bCs/>
                <w:szCs w:val="18"/>
                <w:lang w:eastAsia="lv-LV" w:bidi="en-US"/>
              </w:rPr>
              <w:t>.</w:t>
            </w:r>
          </w:p>
        </w:tc>
      </w:tr>
      <w:tr w:rsidR="004F2753" w:rsidRPr="00926049" w14:paraId="684078D2" w14:textId="77777777" w:rsidTr="008B5E1E">
        <w:trPr>
          <w:trHeight w:val="158"/>
          <w:jc w:val="center"/>
        </w:trPr>
        <w:tc>
          <w:tcPr>
            <w:tcW w:w="5145" w:type="dxa"/>
          </w:tcPr>
          <w:p w14:paraId="5B4393D7" w14:textId="0A3C6B3B" w:rsidR="004F2753" w:rsidRPr="00926049" w:rsidRDefault="00247B81" w:rsidP="00C33718">
            <w:pPr>
              <w:numPr>
                <w:ilvl w:val="1"/>
                <w:numId w:val="27"/>
              </w:numPr>
              <w:autoSpaceDE w:val="0"/>
              <w:autoSpaceDN w:val="0"/>
              <w:adjustRightInd w:val="0"/>
              <w:snapToGrid w:val="0"/>
              <w:spacing w:before="60"/>
              <w:ind w:left="777"/>
              <w:jc w:val="both"/>
              <w:rPr>
                <w:rFonts w:eastAsia="Times New Roman" w:cs="Times New Roman"/>
                <w:bCs/>
                <w:szCs w:val="18"/>
                <w:lang w:val="lv-LV" w:eastAsia="lv-LV"/>
              </w:rPr>
            </w:pPr>
            <w:r w:rsidRPr="00926049">
              <w:rPr>
                <w:rFonts w:eastAsia="Times New Roman" w:cs="Times New Roman"/>
                <w:bCs/>
                <w:szCs w:val="18"/>
                <w:lang w:val="lv-LV" w:eastAsia="lv-LV" w:bidi="lv-LV"/>
              </w:rPr>
              <w:t xml:space="preserve">Opciju turētājs zaudē tiesības </w:t>
            </w:r>
            <w:r w:rsidR="00E34021" w:rsidRPr="00926049">
              <w:rPr>
                <w:rFonts w:eastAsia="Times New Roman" w:cs="Times New Roman"/>
                <w:bCs/>
                <w:szCs w:val="18"/>
                <w:lang w:val="lv-LV" w:eastAsia="lv-LV" w:bidi="lv-LV"/>
              </w:rPr>
              <w:t>izlietot</w:t>
            </w:r>
            <w:r w:rsidRPr="00926049">
              <w:rPr>
                <w:rFonts w:eastAsia="Times New Roman" w:cs="Times New Roman"/>
                <w:bCs/>
                <w:szCs w:val="18"/>
                <w:lang w:val="lv-LV" w:eastAsia="lv-LV" w:bidi="lv-LV"/>
              </w:rPr>
              <w:t xml:space="preserve"> viņam piešķirtās personāla opcijas, ja:</w:t>
            </w:r>
          </w:p>
        </w:tc>
        <w:tc>
          <w:tcPr>
            <w:tcW w:w="5061" w:type="dxa"/>
          </w:tcPr>
          <w:p w14:paraId="4A8B9784" w14:textId="3EF53DFE" w:rsidR="004F2753" w:rsidRPr="00124000" w:rsidRDefault="002B6E4E" w:rsidP="00C33718">
            <w:pPr>
              <w:numPr>
                <w:ilvl w:val="1"/>
                <w:numId w:val="28"/>
              </w:numPr>
              <w:autoSpaceDE w:val="0"/>
              <w:autoSpaceDN w:val="0"/>
              <w:adjustRightInd w:val="0"/>
              <w:snapToGrid w:val="0"/>
              <w:spacing w:before="60"/>
              <w:ind w:left="702"/>
              <w:jc w:val="both"/>
              <w:rPr>
                <w:szCs w:val="18"/>
              </w:rPr>
            </w:pPr>
            <w:r w:rsidRPr="00124000">
              <w:rPr>
                <w:rFonts w:eastAsia="Times New Roman" w:cs="Times New Roman"/>
                <w:bCs/>
                <w:szCs w:val="18"/>
                <w:lang w:eastAsia="lv-LV" w:bidi="en-US"/>
              </w:rPr>
              <w:t>The</w:t>
            </w:r>
            <w:r w:rsidRPr="00124000">
              <w:rPr>
                <w:color w:val="000000"/>
                <w:szCs w:val="18"/>
                <w:lang w:eastAsia="en-US" w:bidi="en-US"/>
              </w:rPr>
              <w:t xml:space="preserve"> Option Holder loses the right to exercise the </w:t>
            </w:r>
            <w:r w:rsidR="00DD3866" w:rsidRPr="00124000">
              <w:rPr>
                <w:color w:val="000000"/>
                <w:szCs w:val="18"/>
                <w:lang w:eastAsia="en-US" w:bidi="en-US"/>
              </w:rPr>
              <w:t xml:space="preserve">share </w:t>
            </w:r>
            <w:r w:rsidRPr="00124000">
              <w:rPr>
                <w:color w:val="000000"/>
                <w:szCs w:val="18"/>
                <w:lang w:eastAsia="en-US" w:bidi="en-US"/>
              </w:rPr>
              <w:t>options allocated to him/her in case of:</w:t>
            </w:r>
          </w:p>
        </w:tc>
      </w:tr>
      <w:tr w:rsidR="004F2753" w:rsidRPr="00926049" w14:paraId="7172A8D1" w14:textId="77777777" w:rsidTr="008B5E1E">
        <w:trPr>
          <w:trHeight w:val="158"/>
          <w:jc w:val="center"/>
        </w:trPr>
        <w:tc>
          <w:tcPr>
            <w:tcW w:w="5145" w:type="dxa"/>
          </w:tcPr>
          <w:p w14:paraId="0C67F047" w14:textId="08193149" w:rsidR="004F2753" w:rsidRPr="00926049" w:rsidRDefault="00247B81" w:rsidP="00C33718">
            <w:pPr>
              <w:numPr>
                <w:ilvl w:val="2"/>
                <w:numId w:val="27"/>
              </w:numPr>
              <w:autoSpaceDE w:val="0"/>
              <w:autoSpaceDN w:val="0"/>
              <w:adjustRightInd w:val="0"/>
              <w:snapToGrid w:val="0"/>
              <w:spacing w:before="60"/>
              <w:ind w:left="1313"/>
              <w:jc w:val="both"/>
              <w:rPr>
                <w:szCs w:val="18"/>
                <w:lang w:val="lv-LV"/>
              </w:rPr>
            </w:pPr>
            <w:r w:rsidRPr="00926049">
              <w:rPr>
                <w:szCs w:val="18"/>
                <w:lang w:val="lv-LV" w:bidi="lv-LV"/>
              </w:rPr>
              <w:lastRenderedPageBreak/>
              <w:t xml:space="preserve">darba tiesiskās attiecības starp Sabiedrību un Opciju </w:t>
            </w:r>
            <w:r w:rsidRPr="00926049">
              <w:rPr>
                <w:rFonts w:eastAsia="Times New Roman" w:cs="Times New Roman"/>
                <w:bCs/>
                <w:szCs w:val="18"/>
                <w:lang w:val="lv-LV" w:eastAsia="lv-LV" w:bidi="lv-LV"/>
              </w:rPr>
              <w:t>turētāju</w:t>
            </w:r>
            <w:r w:rsidRPr="00926049">
              <w:rPr>
                <w:szCs w:val="18"/>
                <w:lang w:val="lv-LV" w:bidi="lv-LV"/>
              </w:rPr>
              <w:t xml:space="preserve"> izbeidzas, vai Opciju turētājs, kas ir Sabiedrības </w:t>
            </w:r>
            <w:r w:rsidR="00E34021" w:rsidRPr="00926049">
              <w:rPr>
                <w:szCs w:val="18"/>
                <w:lang w:val="lv-LV" w:bidi="lv-LV"/>
              </w:rPr>
              <w:t xml:space="preserve">valdes </w:t>
            </w:r>
            <w:r w:rsidRPr="00926049">
              <w:rPr>
                <w:szCs w:val="18"/>
                <w:lang w:val="lv-LV" w:bidi="lv-LV"/>
              </w:rPr>
              <w:t>loceklis, ir atsaukts vai atstājis amatu</w:t>
            </w:r>
            <w:r w:rsidR="00E34021" w:rsidRPr="00926049">
              <w:rPr>
                <w:szCs w:val="18"/>
                <w:lang w:val="lv-LV" w:bidi="lv-LV"/>
              </w:rPr>
              <w:t>.</w:t>
            </w:r>
          </w:p>
        </w:tc>
        <w:tc>
          <w:tcPr>
            <w:tcW w:w="5061" w:type="dxa"/>
          </w:tcPr>
          <w:p w14:paraId="0A797B0F" w14:textId="5BAAB9A2" w:rsidR="004F2753" w:rsidRPr="00124000" w:rsidRDefault="002B6E4E" w:rsidP="00C33718">
            <w:pPr>
              <w:numPr>
                <w:ilvl w:val="2"/>
                <w:numId w:val="28"/>
              </w:numPr>
              <w:autoSpaceDE w:val="0"/>
              <w:autoSpaceDN w:val="0"/>
              <w:adjustRightInd w:val="0"/>
              <w:snapToGrid w:val="0"/>
              <w:spacing w:before="60"/>
              <w:ind w:left="1271"/>
              <w:jc w:val="both"/>
              <w:rPr>
                <w:szCs w:val="18"/>
              </w:rPr>
            </w:pPr>
            <w:r w:rsidRPr="00124000">
              <w:rPr>
                <w:color w:val="000000"/>
                <w:szCs w:val="18"/>
                <w:lang w:eastAsia="en-US" w:bidi="en-US"/>
              </w:rPr>
              <w:t xml:space="preserve">termination of the </w:t>
            </w:r>
            <w:r w:rsidR="00DD3866" w:rsidRPr="00124000">
              <w:rPr>
                <w:color w:val="000000"/>
                <w:szCs w:val="18"/>
                <w:lang w:eastAsia="en-US" w:bidi="en-US"/>
              </w:rPr>
              <w:t>employment</w:t>
            </w:r>
            <w:r w:rsidRPr="00124000">
              <w:rPr>
                <w:color w:val="000000"/>
                <w:szCs w:val="18"/>
                <w:lang w:eastAsia="en-US" w:bidi="en-US"/>
              </w:rPr>
              <w:t xml:space="preserve"> relationship between </w:t>
            </w:r>
            <w:r w:rsidRPr="00124000">
              <w:rPr>
                <w:rFonts w:eastAsia="Times New Roman" w:cs="Times New Roman"/>
                <w:bCs/>
                <w:szCs w:val="18"/>
                <w:lang w:eastAsia="lv-LV" w:bidi="en-US"/>
              </w:rPr>
              <w:t>the</w:t>
            </w:r>
            <w:r w:rsidRPr="00124000">
              <w:rPr>
                <w:color w:val="000000"/>
                <w:szCs w:val="18"/>
                <w:lang w:eastAsia="en-US" w:bidi="en-US"/>
              </w:rPr>
              <w:t xml:space="preserve"> Company and the Option Holder, or the Option Holder, who is a </w:t>
            </w:r>
            <w:r w:rsidR="00DD3866" w:rsidRPr="00124000">
              <w:rPr>
                <w:color w:val="000000"/>
                <w:szCs w:val="18"/>
                <w:lang w:eastAsia="en-US" w:bidi="en-US"/>
              </w:rPr>
              <w:t xml:space="preserve">management </w:t>
            </w:r>
            <w:r w:rsidRPr="00124000">
              <w:rPr>
                <w:color w:val="000000"/>
                <w:szCs w:val="18"/>
                <w:lang w:eastAsia="en-US" w:bidi="en-US"/>
              </w:rPr>
              <w:t>board member, has been recalled or has left the office</w:t>
            </w:r>
            <w:r w:rsidR="00DD3866" w:rsidRPr="00124000">
              <w:rPr>
                <w:color w:val="000000"/>
                <w:szCs w:val="18"/>
                <w:lang w:eastAsia="en-US" w:bidi="en-US"/>
              </w:rPr>
              <w:t>.</w:t>
            </w:r>
          </w:p>
        </w:tc>
      </w:tr>
      <w:tr w:rsidR="004F2753" w:rsidRPr="00926049" w14:paraId="5DB51FA0" w14:textId="77777777" w:rsidTr="008B5E1E">
        <w:trPr>
          <w:trHeight w:val="158"/>
          <w:jc w:val="center"/>
        </w:trPr>
        <w:tc>
          <w:tcPr>
            <w:tcW w:w="5145" w:type="dxa"/>
          </w:tcPr>
          <w:p w14:paraId="56C346DF" w14:textId="588E42DA" w:rsidR="004F2753" w:rsidRPr="00926049" w:rsidRDefault="00247B81" w:rsidP="00AF3B68">
            <w:pPr>
              <w:numPr>
                <w:ilvl w:val="0"/>
                <w:numId w:val="1"/>
              </w:numPr>
              <w:autoSpaceDE w:val="0"/>
              <w:autoSpaceDN w:val="0"/>
              <w:adjustRightInd w:val="0"/>
              <w:snapToGrid w:val="0"/>
              <w:spacing w:before="120" w:after="120"/>
              <w:ind w:left="457" w:hanging="357"/>
              <w:jc w:val="both"/>
              <w:rPr>
                <w:caps/>
                <w:szCs w:val="18"/>
                <w:lang w:val="lv-LV"/>
              </w:rPr>
            </w:pPr>
            <w:bookmarkStart w:id="4" w:name="bookmark10"/>
            <w:bookmarkStart w:id="5" w:name="bookmark11"/>
            <w:r w:rsidRPr="00926049">
              <w:rPr>
                <w:rFonts w:eastAsia="Times New Roman" w:cs="Times New Roman"/>
                <w:b/>
                <w:caps/>
                <w:szCs w:val="18"/>
                <w:lang w:val="lv-LV" w:eastAsia="lv-LV"/>
              </w:rPr>
              <w:t>Personāla opciju segšanai paredzētais akciju skaits, nominālvērtība, kategorija un tajās nostiprinātās tiesības</w:t>
            </w:r>
            <w:bookmarkEnd w:id="4"/>
            <w:bookmarkEnd w:id="5"/>
          </w:p>
        </w:tc>
        <w:tc>
          <w:tcPr>
            <w:tcW w:w="5061" w:type="dxa"/>
          </w:tcPr>
          <w:p w14:paraId="1C82B70D" w14:textId="2931AD32" w:rsidR="004F2753" w:rsidRPr="00124000" w:rsidRDefault="00CA523D" w:rsidP="00AF3B68">
            <w:pPr>
              <w:numPr>
                <w:ilvl w:val="0"/>
                <w:numId w:val="2"/>
              </w:numPr>
              <w:autoSpaceDE w:val="0"/>
              <w:autoSpaceDN w:val="0"/>
              <w:adjustRightInd w:val="0"/>
              <w:snapToGrid w:val="0"/>
              <w:spacing w:before="120" w:after="120"/>
              <w:ind w:left="566" w:hanging="357"/>
              <w:jc w:val="both"/>
              <w:rPr>
                <w:b/>
                <w:bCs/>
                <w:caps/>
                <w:szCs w:val="18"/>
              </w:rPr>
            </w:pPr>
            <w:bookmarkStart w:id="6" w:name="bookmark18"/>
            <w:bookmarkStart w:id="7" w:name="bookmark19"/>
            <w:r w:rsidRPr="00124000">
              <w:rPr>
                <w:rFonts w:eastAsia="Times New Roman" w:cs="Times New Roman"/>
                <w:b/>
                <w:caps/>
                <w:szCs w:val="18"/>
                <w:lang w:eastAsia="lv-LV" w:bidi="en-US"/>
              </w:rPr>
              <w:t>Number of shares</w:t>
            </w:r>
            <w:r w:rsidR="00872316" w:rsidRPr="00124000">
              <w:rPr>
                <w:rFonts w:eastAsia="Times New Roman" w:cs="Times New Roman"/>
                <w:b/>
                <w:caps/>
                <w:szCs w:val="18"/>
                <w:lang w:eastAsia="lv-LV" w:bidi="en-US"/>
              </w:rPr>
              <w:t xml:space="preserve"> </w:t>
            </w:r>
            <w:r w:rsidR="00872316" w:rsidRPr="00124000">
              <w:rPr>
                <w:rFonts w:eastAsia="Times New Roman" w:cs="Times New Roman"/>
                <w:b/>
                <w:caps/>
                <w:szCs w:val="18"/>
                <w:lang w:eastAsia="lv-LV" w:bidi="en-US"/>
              </w:rPr>
              <w:t>prescribed for covering share options</w:t>
            </w:r>
            <w:r w:rsidRPr="00124000">
              <w:rPr>
                <w:rFonts w:eastAsia="Times New Roman" w:cs="Times New Roman"/>
                <w:b/>
                <w:caps/>
                <w:szCs w:val="18"/>
                <w:lang w:eastAsia="lv-LV" w:bidi="en-US"/>
              </w:rPr>
              <w:t>, nominal value, category and the rights</w:t>
            </w:r>
            <w:r w:rsidR="00872316">
              <w:rPr>
                <w:rFonts w:eastAsia="Times New Roman" w:cs="Times New Roman"/>
                <w:b/>
                <w:caps/>
                <w:szCs w:val="18"/>
                <w:lang w:eastAsia="lv-LV" w:bidi="en-US"/>
              </w:rPr>
              <w:t xml:space="preserve"> </w:t>
            </w:r>
            <w:r w:rsidR="00872316">
              <w:rPr>
                <w:rFonts w:eastAsia="Times New Roman" w:cs="Times New Roman"/>
                <w:b/>
                <w:caps/>
                <w:lang w:eastAsia="lv-LV" w:bidi="en-US"/>
              </w:rPr>
              <w:t xml:space="preserve">ATTACHED </w:t>
            </w:r>
            <w:r w:rsidRPr="00124000">
              <w:rPr>
                <w:rFonts w:eastAsia="Times New Roman" w:cs="Times New Roman"/>
                <w:b/>
                <w:caps/>
                <w:szCs w:val="18"/>
                <w:lang w:eastAsia="lv-LV" w:bidi="en-US"/>
              </w:rPr>
              <w:t xml:space="preserve"> </w:t>
            </w:r>
            <w:bookmarkEnd w:id="6"/>
            <w:bookmarkEnd w:id="7"/>
          </w:p>
        </w:tc>
      </w:tr>
      <w:tr w:rsidR="004F2753" w:rsidRPr="00926049" w14:paraId="4847F30F" w14:textId="77777777" w:rsidTr="008B5E1E">
        <w:trPr>
          <w:trHeight w:val="80"/>
          <w:jc w:val="center"/>
        </w:trPr>
        <w:tc>
          <w:tcPr>
            <w:tcW w:w="5145" w:type="dxa"/>
          </w:tcPr>
          <w:p w14:paraId="7E3E4395" w14:textId="2431C7FB" w:rsidR="004F2753" w:rsidRPr="00926049" w:rsidRDefault="007941B7" w:rsidP="00C33718">
            <w:pPr>
              <w:numPr>
                <w:ilvl w:val="1"/>
                <w:numId w:val="6"/>
              </w:numPr>
              <w:autoSpaceDE w:val="0"/>
              <w:autoSpaceDN w:val="0"/>
              <w:adjustRightInd w:val="0"/>
              <w:snapToGrid w:val="0"/>
              <w:spacing w:before="60"/>
              <w:ind w:left="777"/>
              <w:jc w:val="both"/>
              <w:rPr>
                <w:rFonts w:eastAsia="Times New Roman" w:cs="Times New Roman"/>
                <w:bCs/>
                <w:szCs w:val="18"/>
                <w:lang w:val="lv-LV" w:eastAsia="lv-LV"/>
              </w:rPr>
            </w:pPr>
            <w:r w:rsidRPr="00926049">
              <w:rPr>
                <w:szCs w:val="18"/>
                <w:lang w:val="lv-LV"/>
              </w:rPr>
              <w:t xml:space="preserve">Sabiedrība izlaiž 25 000 (divdesmit pieci tūkstoši) personāla opcijas. </w:t>
            </w:r>
          </w:p>
        </w:tc>
        <w:tc>
          <w:tcPr>
            <w:tcW w:w="5061" w:type="dxa"/>
          </w:tcPr>
          <w:p w14:paraId="35B3A82F" w14:textId="54C35CAF" w:rsidR="00905BB5" w:rsidRPr="00124000" w:rsidRDefault="00905BB5" w:rsidP="00C33718">
            <w:pPr>
              <w:numPr>
                <w:ilvl w:val="1"/>
                <w:numId w:val="7"/>
              </w:numPr>
              <w:autoSpaceDE w:val="0"/>
              <w:autoSpaceDN w:val="0"/>
              <w:adjustRightInd w:val="0"/>
              <w:snapToGrid w:val="0"/>
              <w:spacing w:before="60"/>
              <w:ind w:left="702"/>
              <w:jc w:val="both"/>
              <w:rPr>
                <w:rFonts w:eastAsia="Times New Roman" w:cs="Times New Roman"/>
                <w:bCs/>
                <w:szCs w:val="18"/>
                <w:lang w:eastAsia="lv-LV"/>
              </w:rPr>
            </w:pPr>
            <w:r w:rsidRPr="00124000">
              <w:rPr>
                <w:rFonts w:eastAsia="Times New Roman" w:cs="Times New Roman"/>
                <w:bCs/>
                <w:szCs w:val="18"/>
                <w:lang w:eastAsia="lv-LV"/>
              </w:rPr>
              <w:t>The Company issues 25 000 (twenty</w:t>
            </w:r>
            <w:r w:rsidR="003777F7" w:rsidRPr="00124000">
              <w:rPr>
                <w:rFonts w:eastAsia="Times New Roman" w:cs="Times New Roman"/>
                <w:bCs/>
                <w:szCs w:val="18"/>
                <w:lang w:eastAsia="lv-LV"/>
              </w:rPr>
              <w:t>-</w:t>
            </w:r>
            <w:r w:rsidRPr="00124000">
              <w:rPr>
                <w:rFonts w:eastAsia="Times New Roman" w:cs="Times New Roman"/>
                <w:bCs/>
                <w:szCs w:val="18"/>
                <w:lang w:eastAsia="lv-LV"/>
              </w:rPr>
              <w:t>five thousand) share options.</w:t>
            </w:r>
          </w:p>
        </w:tc>
      </w:tr>
      <w:tr w:rsidR="004F2753" w:rsidRPr="00926049" w14:paraId="73F8364B" w14:textId="77777777" w:rsidTr="008B5E1E">
        <w:trPr>
          <w:trHeight w:val="80"/>
          <w:jc w:val="center"/>
        </w:trPr>
        <w:tc>
          <w:tcPr>
            <w:tcW w:w="5145" w:type="dxa"/>
          </w:tcPr>
          <w:p w14:paraId="3BBB8FF7" w14:textId="34C1CB93" w:rsidR="004F2753" w:rsidRPr="00926049" w:rsidRDefault="00677B6F" w:rsidP="00C33718">
            <w:pPr>
              <w:numPr>
                <w:ilvl w:val="1"/>
                <w:numId w:val="6"/>
              </w:numPr>
              <w:autoSpaceDE w:val="0"/>
              <w:autoSpaceDN w:val="0"/>
              <w:adjustRightInd w:val="0"/>
              <w:snapToGrid w:val="0"/>
              <w:spacing w:before="60"/>
              <w:ind w:left="777"/>
              <w:jc w:val="both"/>
              <w:rPr>
                <w:rFonts w:eastAsia="Times New Roman" w:cs="Times New Roman"/>
                <w:bCs/>
                <w:szCs w:val="18"/>
                <w:lang w:val="lv-LV" w:eastAsia="lv-LV"/>
              </w:rPr>
            </w:pPr>
            <w:r w:rsidRPr="00926049">
              <w:rPr>
                <w:szCs w:val="18"/>
                <w:lang w:val="lv-LV"/>
              </w:rPr>
              <w:t xml:space="preserve">Visu personāla opciju segšanai paredzētas 25 000 (divdesmit pieci tūkstoši) vienas kategorijas dematerializētas uzrādītāja akcijas ar katras akcijas nominālvērtību EUR EUR 0.10 (desmit </w:t>
            </w:r>
            <w:r w:rsidRPr="00926049">
              <w:rPr>
                <w:i/>
                <w:iCs/>
                <w:szCs w:val="18"/>
                <w:lang w:val="lv-LV"/>
              </w:rPr>
              <w:t>eiro</w:t>
            </w:r>
            <w:r w:rsidRPr="00926049">
              <w:rPr>
                <w:szCs w:val="18"/>
                <w:lang w:val="lv-LV"/>
              </w:rPr>
              <w:t xml:space="preserve"> centi) un kopējo nominālvērtību summu EUR </w:t>
            </w:r>
            <w:r w:rsidRPr="00926049">
              <w:rPr>
                <w:bCs/>
                <w:szCs w:val="18"/>
                <w:lang w:val="lv-LV" w:eastAsia="lv-LV"/>
              </w:rPr>
              <w:t xml:space="preserve">2500 (divi tūkstoši pieci simti </w:t>
            </w:r>
            <w:r w:rsidRPr="00926049">
              <w:rPr>
                <w:bCs/>
                <w:i/>
                <w:iCs/>
                <w:szCs w:val="18"/>
                <w:lang w:val="lv-LV" w:eastAsia="lv-LV"/>
              </w:rPr>
              <w:t>eiro</w:t>
            </w:r>
            <w:r w:rsidRPr="00926049">
              <w:rPr>
                <w:bCs/>
                <w:szCs w:val="18"/>
                <w:lang w:val="lv-LV" w:eastAsia="lv-LV"/>
              </w:rPr>
              <w:t>) (nosacītais pamatkapitāls)</w:t>
            </w:r>
            <w:r w:rsidRPr="00926049">
              <w:rPr>
                <w:szCs w:val="18"/>
                <w:lang w:val="lv-LV"/>
              </w:rPr>
              <w:t>, kas nepārsniedz 10% no Sabiedrības apmaksātā pamatkapitāla brīdī, kad pieņemts lēmums par personāla opciju piešķiršanu.</w:t>
            </w:r>
          </w:p>
        </w:tc>
        <w:tc>
          <w:tcPr>
            <w:tcW w:w="5061" w:type="dxa"/>
          </w:tcPr>
          <w:p w14:paraId="258ED7C4" w14:textId="1D892A47" w:rsidR="004F2753" w:rsidRPr="00124000" w:rsidRDefault="00905BB5" w:rsidP="00C33718">
            <w:pPr>
              <w:numPr>
                <w:ilvl w:val="1"/>
                <w:numId w:val="7"/>
              </w:numPr>
              <w:autoSpaceDE w:val="0"/>
              <w:autoSpaceDN w:val="0"/>
              <w:adjustRightInd w:val="0"/>
              <w:snapToGrid w:val="0"/>
              <w:spacing w:before="60"/>
              <w:ind w:left="702"/>
              <w:jc w:val="both"/>
              <w:rPr>
                <w:rFonts w:eastAsia="Times New Roman" w:cs="Times New Roman"/>
                <w:bCs/>
                <w:szCs w:val="18"/>
                <w:lang w:eastAsia="lv-LV"/>
              </w:rPr>
            </w:pPr>
            <w:r w:rsidRPr="00124000">
              <w:rPr>
                <w:rFonts w:cs="Arial"/>
                <w:szCs w:val="18"/>
              </w:rPr>
              <w:t xml:space="preserve">In total </w:t>
            </w:r>
            <w:r w:rsidR="000E3516" w:rsidRPr="00124000">
              <w:rPr>
                <w:rFonts w:cs="Arial"/>
                <w:szCs w:val="18"/>
              </w:rPr>
              <w:t>25</w:t>
            </w:r>
            <w:r w:rsidRPr="00124000">
              <w:rPr>
                <w:rFonts w:cs="Arial"/>
                <w:szCs w:val="18"/>
              </w:rPr>
              <w:t xml:space="preserve"> </w:t>
            </w:r>
            <w:r w:rsidR="000E3516" w:rsidRPr="00124000">
              <w:rPr>
                <w:rFonts w:cs="Arial"/>
                <w:szCs w:val="18"/>
              </w:rPr>
              <w:t xml:space="preserve">000 </w:t>
            </w:r>
            <w:r w:rsidRPr="00124000">
              <w:rPr>
                <w:rFonts w:cs="Arial"/>
                <w:szCs w:val="18"/>
              </w:rPr>
              <w:t>(twenty</w:t>
            </w:r>
            <w:r w:rsidR="00912492" w:rsidRPr="00124000">
              <w:rPr>
                <w:rFonts w:cs="Arial"/>
                <w:szCs w:val="18"/>
              </w:rPr>
              <w:t>-</w:t>
            </w:r>
            <w:r w:rsidRPr="00124000">
              <w:rPr>
                <w:rFonts w:cs="Arial"/>
                <w:szCs w:val="18"/>
              </w:rPr>
              <w:t xml:space="preserve">five thousand) </w:t>
            </w:r>
            <w:r w:rsidR="000E3516" w:rsidRPr="00124000">
              <w:rPr>
                <w:rFonts w:cs="Arial"/>
                <w:szCs w:val="18"/>
              </w:rPr>
              <w:t xml:space="preserve">dematerialised </w:t>
            </w:r>
            <w:r w:rsidRPr="00124000">
              <w:rPr>
                <w:rFonts w:cs="Arial"/>
                <w:szCs w:val="18"/>
              </w:rPr>
              <w:t xml:space="preserve">bearer </w:t>
            </w:r>
            <w:r w:rsidR="000E3516" w:rsidRPr="00124000">
              <w:rPr>
                <w:rFonts w:cs="Arial"/>
                <w:szCs w:val="18"/>
              </w:rPr>
              <w:t xml:space="preserve">shares with the </w:t>
            </w:r>
            <w:r w:rsidRPr="00124000">
              <w:rPr>
                <w:rFonts w:cs="Arial"/>
                <w:szCs w:val="18"/>
              </w:rPr>
              <w:t>nominal</w:t>
            </w:r>
            <w:r w:rsidR="000E3516" w:rsidRPr="00124000">
              <w:rPr>
                <w:szCs w:val="18"/>
              </w:rPr>
              <w:br/>
            </w:r>
            <w:r w:rsidR="000E3516" w:rsidRPr="00124000">
              <w:rPr>
                <w:rFonts w:cs="Arial"/>
                <w:szCs w:val="18"/>
              </w:rPr>
              <w:t xml:space="preserve">value </w:t>
            </w:r>
            <w:r w:rsidRPr="00124000">
              <w:rPr>
                <w:rFonts w:cs="Arial"/>
                <w:szCs w:val="18"/>
              </w:rPr>
              <w:t>of one</w:t>
            </w:r>
            <w:r w:rsidR="000E3516" w:rsidRPr="00124000">
              <w:rPr>
                <w:rFonts w:cs="Arial"/>
                <w:szCs w:val="18"/>
              </w:rPr>
              <w:t xml:space="preserve"> share</w:t>
            </w:r>
            <w:r w:rsidRPr="00124000">
              <w:rPr>
                <w:rFonts w:cs="Arial"/>
                <w:szCs w:val="18"/>
              </w:rPr>
              <w:t xml:space="preserve"> being </w:t>
            </w:r>
            <w:r w:rsidRPr="00124000">
              <w:rPr>
                <w:rFonts w:cs="Arial"/>
                <w:szCs w:val="18"/>
              </w:rPr>
              <w:t>EUR 0.10 (</w:t>
            </w:r>
            <w:proofErr w:type="gramStart"/>
            <w:r w:rsidRPr="00124000">
              <w:rPr>
                <w:rFonts w:cs="Arial"/>
                <w:szCs w:val="18"/>
              </w:rPr>
              <w:t>ten euro</w:t>
            </w:r>
            <w:proofErr w:type="gramEnd"/>
            <w:r w:rsidRPr="00124000">
              <w:rPr>
                <w:rFonts w:cs="Arial"/>
                <w:szCs w:val="18"/>
              </w:rPr>
              <w:t xml:space="preserve"> cents) </w:t>
            </w:r>
            <w:r w:rsidRPr="00124000">
              <w:rPr>
                <w:rFonts w:cs="Arial"/>
                <w:szCs w:val="18"/>
              </w:rPr>
              <w:t xml:space="preserve">and the total value of </w:t>
            </w:r>
            <w:r w:rsidR="00351B09" w:rsidRPr="00124000">
              <w:rPr>
                <w:rFonts w:cs="Arial"/>
                <w:szCs w:val="18"/>
              </w:rPr>
              <w:t xml:space="preserve">all shares being </w:t>
            </w:r>
            <w:r w:rsidRPr="00124000">
              <w:rPr>
                <w:rFonts w:cs="Arial"/>
                <w:szCs w:val="18"/>
              </w:rPr>
              <w:t>EUR 2500 (two thousand five hundred euros) (conditional share capital)</w:t>
            </w:r>
            <w:r w:rsidR="000E3516" w:rsidRPr="00124000">
              <w:rPr>
                <w:rFonts w:cs="Arial"/>
                <w:szCs w:val="18"/>
              </w:rPr>
              <w:t xml:space="preserve"> are allocated for conversion of</w:t>
            </w:r>
            <w:r w:rsidRPr="00124000">
              <w:rPr>
                <w:rFonts w:cs="Arial"/>
                <w:szCs w:val="18"/>
              </w:rPr>
              <w:t xml:space="preserve"> share options</w:t>
            </w:r>
            <w:r w:rsidR="00351B09" w:rsidRPr="00124000">
              <w:rPr>
                <w:rFonts w:cs="Arial"/>
                <w:szCs w:val="18"/>
              </w:rPr>
              <w:t>, which does not exceed 10% of the Company’s share capital at the moment of adopting decision on allocation of share options.</w:t>
            </w:r>
            <w:r w:rsidRPr="00124000">
              <w:rPr>
                <w:rFonts w:cs="Arial"/>
                <w:szCs w:val="18"/>
              </w:rPr>
              <w:t xml:space="preserve">  </w:t>
            </w:r>
          </w:p>
        </w:tc>
      </w:tr>
      <w:tr w:rsidR="00EE68CF" w:rsidRPr="00926049" w14:paraId="5A3A8CFD" w14:textId="77777777" w:rsidTr="008B5E1E">
        <w:trPr>
          <w:trHeight w:val="80"/>
          <w:jc w:val="center"/>
        </w:trPr>
        <w:tc>
          <w:tcPr>
            <w:tcW w:w="5145" w:type="dxa"/>
          </w:tcPr>
          <w:p w14:paraId="3E422578" w14:textId="21D5BE09" w:rsidR="00EE68CF" w:rsidRPr="00926049" w:rsidRDefault="00EE68CF" w:rsidP="00C33718">
            <w:pPr>
              <w:numPr>
                <w:ilvl w:val="1"/>
                <w:numId w:val="6"/>
              </w:numPr>
              <w:autoSpaceDE w:val="0"/>
              <w:autoSpaceDN w:val="0"/>
              <w:adjustRightInd w:val="0"/>
              <w:snapToGrid w:val="0"/>
              <w:spacing w:before="60"/>
              <w:ind w:left="777"/>
              <w:jc w:val="both"/>
              <w:rPr>
                <w:rFonts w:eastAsia="Times New Roman" w:cs="Times New Roman"/>
                <w:b/>
                <w:caps/>
                <w:szCs w:val="18"/>
                <w:lang w:val="lv-LV" w:eastAsia="lv-LV"/>
              </w:rPr>
            </w:pPr>
            <w:r w:rsidRPr="00926049">
              <w:rPr>
                <w:szCs w:val="18"/>
                <w:lang w:val="lv-LV"/>
              </w:rPr>
              <w:t xml:space="preserve">Katra personāla opcijas konversijas rezultātā iegūtā </w:t>
            </w:r>
            <w:r w:rsidRPr="00926049">
              <w:rPr>
                <w:bCs/>
                <w:szCs w:val="18"/>
                <w:lang w:val="lv-LV" w:eastAsia="lv-LV"/>
              </w:rPr>
              <w:t>Sabiedrības</w:t>
            </w:r>
            <w:r w:rsidRPr="00926049">
              <w:rPr>
                <w:szCs w:val="18"/>
                <w:lang w:val="lv-LV"/>
              </w:rPr>
              <w:t xml:space="preserve"> jaunās emisijas akcija piešķir akcionāram tādas pašas tiesības kā esošās Sabiedrības akcijas, </w:t>
            </w:r>
            <w:proofErr w:type="gramStart"/>
            <w:r w:rsidRPr="00926049">
              <w:rPr>
                <w:szCs w:val="18"/>
                <w:lang w:val="lv-LV"/>
              </w:rPr>
              <w:t>t.i.</w:t>
            </w:r>
            <w:proofErr w:type="gramEnd"/>
            <w:r w:rsidRPr="00926049">
              <w:rPr>
                <w:szCs w:val="18"/>
                <w:lang w:val="lv-LV"/>
              </w:rPr>
              <w:t xml:space="preserve"> vienādas tiesības uz dividendes saņemšanu, likvidācijas kvotas saņemšanu un balsstiesībām Sabiedrībā</w:t>
            </w:r>
            <w:r w:rsidR="006F501D" w:rsidRPr="00926049">
              <w:rPr>
                <w:szCs w:val="18"/>
                <w:lang w:val="lv-LV"/>
              </w:rPr>
              <w:t>.</w:t>
            </w:r>
          </w:p>
        </w:tc>
        <w:tc>
          <w:tcPr>
            <w:tcW w:w="5061" w:type="dxa"/>
          </w:tcPr>
          <w:p w14:paraId="0AA44011" w14:textId="7A8E2FC4" w:rsidR="00EE68CF" w:rsidRPr="00124000" w:rsidRDefault="00351B09" w:rsidP="00C33718">
            <w:pPr>
              <w:numPr>
                <w:ilvl w:val="1"/>
                <w:numId w:val="7"/>
              </w:numPr>
              <w:autoSpaceDE w:val="0"/>
              <w:autoSpaceDN w:val="0"/>
              <w:adjustRightInd w:val="0"/>
              <w:snapToGrid w:val="0"/>
              <w:spacing w:before="60"/>
              <w:ind w:left="702"/>
              <w:jc w:val="both"/>
              <w:rPr>
                <w:rFonts w:eastAsia="Times New Roman" w:cs="Times New Roman"/>
                <w:bCs/>
                <w:szCs w:val="18"/>
                <w:lang w:eastAsia="lv-LV"/>
              </w:rPr>
            </w:pPr>
            <w:r w:rsidRPr="00124000">
              <w:rPr>
                <w:rStyle w:val="rynqvb"/>
              </w:rPr>
              <w:t xml:space="preserve">Each share of the new issue of the Company obtained as a result of conversion of </w:t>
            </w:r>
            <w:r w:rsidRPr="00124000">
              <w:rPr>
                <w:rStyle w:val="rynqvb"/>
              </w:rPr>
              <w:t>share</w:t>
            </w:r>
            <w:r w:rsidRPr="00124000">
              <w:rPr>
                <w:rStyle w:val="rynqvb"/>
              </w:rPr>
              <w:t xml:space="preserve"> option gives the shareholder the same rights as the existing shares of the Company, i.e.</w:t>
            </w:r>
            <w:r w:rsidRPr="00124000">
              <w:rPr>
                <w:rStyle w:val="rynqvb"/>
              </w:rPr>
              <w:t>,</w:t>
            </w:r>
            <w:r w:rsidRPr="00124000">
              <w:rPr>
                <w:rStyle w:val="hwtze"/>
              </w:rPr>
              <w:t xml:space="preserve"> </w:t>
            </w:r>
            <w:r w:rsidRPr="00124000">
              <w:rPr>
                <w:rStyle w:val="rynqvb"/>
              </w:rPr>
              <w:t>equal rights to receive dividends, liquidation quota and voting rights in the Company.</w:t>
            </w:r>
            <w:r w:rsidRPr="00124000">
              <w:rPr>
                <w:rStyle w:val="rynqvb"/>
              </w:rPr>
              <w:t xml:space="preserve"> </w:t>
            </w:r>
          </w:p>
        </w:tc>
      </w:tr>
      <w:tr w:rsidR="00247B81" w:rsidRPr="00926049" w14:paraId="7FEE6E95" w14:textId="77777777" w:rsidTr="008B5E1E">
        <w:trPr>
          <w:trHeight w:val="80"/>
          <w:jc w:val="center"/>
        </w:trPr>
        <w:tc>
          <w:tcPr>
            <w:tcW w:w="5145" w:type="dxa"/>
          </w:tcPr>
          <w:p w14:paraId="22BD3A56" w14:textId="11651AE3" w:rsidR="004B2CA2" w:rsidRPr="00926049" w:rsidRDefault="00247B81" w:rsidP="00AF3B68">
            <w:pPr>
              <w:numPr>
                <w:ilvl w:val="0"/>
                <w:numId w:val="1"/>
              </w:numPr>
              <w:autoSpaceDE w:val="0"/>
              <w:autoSpaceDN w:val="0"/>
              <w:adjustRightInd w:val="0"/>
              <w:snapToGrid w:val="0"/>
              <w:spacing w:before="120" w:after="120"/>
              <w:ind w:left="457"/>
              <w:jc w:val="both"/>
              <w:rPr>
                <w:rFonts w:eastAsia="Times New Roman" w:cs="Times New Roman"/>
                <w:b/>
                <w:caps/>
                <w:szCs w:val="18"/>
                <w:lang w:val="lv-LV" w:eastAsia="lv-LV"/>
              </w:rPr>
            </w:pPr>
            <w:bookmarkStart w:id="8" w:name="bookmark20"/>
            <w:bookmarkStart w:id="9" w:name="bookmark21"/>
            <w:r w:rsidRPr="00926049">
              <w:rPr>
                <w:rFonts w:eastAsia="Times New Roman" w:cs="Times New Roman"/>
                <w:b/>
                <w:caps/>
                <w:szCs w:val="18"/>
                <w:lang w:val="lv-LV" w:eastAsia="lv-LV"/>
              </w:rPr>
              <w:t>Personāla opciju piešķiršanas un nodošanas kārtība, apmaksas veids</w:t>
            </w:r>
            <w:bookmarkEnd w:id="8"/>
            <w:bookmarkEnd w:id="9"/>
          </w:p>
        </w:tc>
        <w:tc>
          <w:tcPr>
            <w:tcW w:w="5061" w:type="dxa"/>
          </w:tcPr>
          <w:p w14:paraId="5073A785" w14:textId="627A9D81" w:rsidR="00247B81" w:rsidRPr="00124000" w:rsidRDefault="000D5250" w:rsidP="00AF3B68">
            <w:pPr>
              <w:numPr>
                <w:ilvl w:val="0"/>
                <w:numId w:val="2"/>
              </w:numPr>
              <w:autoSpaceDE w:val="0"/>
              <w:autoSpaceDN w:val="0"/>
              <w:adjustRightInd w:val="0"/>
              <w:snapToGrid w:val="0"/>
              <w:spacing w:before="120" w:after="120"/>
              <w:ind w:left="566"/>
              <w:jc w:val="both"/>
              <w:rPr>
                <w:rFonts w:eastAsia="Times New Roman" w:cs="Times New Roman"/>
                <w:b/>
                <w:caps/>
                <w:szCs w:val="18"/>
                <w:lang w:eastAsia="lv-LV"/>
              </w:rPr>
            </w:pPr>
            <w:r w:rsidRPr="00124000">
              <w:rPr>
                <w:rFonts w:eastAsia="Times New Roman" w:cs="Times New Roman"/>
                <w:b/>
                <w:caps/>
                <w:szCs w:val="18"/>
                <w:lang w:eastAsia="lv-LV"/>
              </w:rPr>
              <w:t xml:space="preserve">Procedure for allocation and transfer of </w:t>
            </w:r>
            <w:r w:rsidR="00137AE6" w:rsidRPr="00124000">
              <w:rPr>
                <w:rFonts w:eastAsia="Times New Roman" w:cs="Times New Roman"/>
                <w:b/>
                <w:caps/>
                <w:szCs w:val="18"/>
                <w:lang w:eastAsia="lv-LV"/>
              </w:rPr>
              <w:t>SHARE</w:t>
            </w:r>
            <w:r w:rsidRPr="00124000">
              <w:rPr>
                <w:rFonts w:eastAsia="Times New Roman" w:cs="Times New Roman"/>
                <w:b/>
                <w:caps/>
                <w:szCs w:val="18"/>
                <w:lang w:eastAsia="lv-LV"/>
              </w:rPr>
              <w:t xml:space="preserve"> options</w:t>
            </w:r>
          </w:p>
        </w:tc>
      </w:tr>
      <w:tr w:rsidR="004B2CA2" w:rsidRPr="00926049" w14:paraId="56E07DA9" w14:textId="77777777" w:rsidTr="00CD454E">
        <w:trPr>
          <w:trHeight w:val="993"/>
          <w:jc w:val="center"/>
        </w:trPr>
        <w:tc>
          <w:tcPr>
            <w:tcW w:w="5145" w:type="dxa"/>
          </w:tcPr>
          <w:p w14:paraId="18156157" w14:textId="6A78E9CA" w:rsidR="004B2CA2" w:rsidRPr="00926049" w:rsidRDefault="006F501D" w:rsidP="00C33718">
            <w:pPr>
              <w:numPr>
                <w:ilvl w:val="1"/>
                <w:numId w:val="1"/>
              </w:numPr>
              <w:autoSpaceDE w:val="0"/>
              <w:autoSpaceDN w:val="0"/>
              <w:adjustRightInd w:val="0"/>
              <w:snapToGrid w:val="0"/>
              <w:spacing w:before="60"/>
              <w:jc w:val="both"/>
              <w:rPr>
                <w:szCs w:val="18"/>
                <w:lang w:val="lv-LV"/>
              </w:rPr>
            </w:pPr>
            <w:r w:rsidRPr="00926049">
              <w:rPr>
                <w:rFonts w:eastAsia="Calibri"/>
                <w:szCs w:val="18"/>
                <w:lang w:val="lv-LV"/>
              </w:rPr>
              <w:t xml:space="preserve">Sabiedrības valde ar savu lēmumu ir tiesīga piešķirt Sabiedrības darbiniekam personāla opcijas atbilstoši </w:t>
            </w:r>
            <w:r w:rsidR="00056B70">
              <w:rPr>
                <w:rFonts w:eastAsia="Calibri"/>
                <w:szCs w:val="18"/>
                <w:lang w:val="lv-LV"/>
              </w:rPr>
              <w:t>Noteikumiem</w:t>
            </w:r>
            <w:r w:rsidRPr="00926049">
              <w:rPr>
                <w:rFonts w:eastAsia="Calibri"/>
                <w:szCs w:val="18"/>
                <w:lang w:val="lv-LV"/>
              </w:rPr>
              <w:t>.</w:t>
            </w:r>
            <w:r w:rsidRPr="00926049">
              <w:rPr>
                <w:szCs w:val="18"/>
                <w:lang w:val="lv-LV"/>
              </w:rPr>
              <w:t xml:space="preserve"> </w:t>
            </w:r>
            <w:r w:rsidR="003777F7" w:rsidRPr="00EE3C0E">
              <w:rPr>
                <w:lang w:val="lv-LV"/>
              </w:rPr>
              <w:t>Ar lēmumu par opciju piešķiršanu Sabiedrības darbiniekiem valde nosaka proporciju konversijas veikšanai uz Sabiedrības jaunās emisijas akcijām un attiecīgo Turēšanas perioda ietvaru</w:t>
            </w:r>
            <w:r w:rsidR="003777F7">
              <w:rPr>
                <w:lang w:val="lv-LV"/>
              </w:rPr>
              <w:t>.</w:t>
            </w:r>
          </w:p>
        </w:tc>
        <w:tc>
          <w:tcPr>
            <w:tcW w:w="5061" w:type="dxa"/>
          </w:tcPr>
          <w:p w14:paraId="074400D4" w14:textId="5F080ABB" w:rsidR="004B2CA2" w:rsidRPr="00124000" w:rsidRDefault="0050400B" w:rsidP="00C33718">
            <w:pPr>
              <w:numPr>
                <w:ilvl w:val="1"/>
                <w:numId w:val="2"/>
              </w:numPr>
              <w:autoSpaceDE w:val="0"/>
              <w:autoSpaceDN w:val="0"/>
              <w:adjustRightInd w:val="0"/>
              <w:snapToGrid w:val="0"/>
              <w:spacing w:before="60"/>
              <w:ind w:left="704"/>
              <w:jc w:val="both"/>
              <w:rPr>
                <w:rFonts w:eastAsia="Times New Roman" w:cs="Times New Roman"/>
                <w:bCs/>
                <w:szCs w:val="18"/>
                <w:lang w:eastAsia="lv-LV"/>
              </w:rPr>
            </w:pPr>
            <w:r w:rsidRPr="00124000">
              <w:rPr>
                <w:rStyle w:val="rynqvb"/>
                <w:szCs w:val="18"/>
              </w:rPr>
              <w:t xml:space="preserve">The </w:t>
            </w:r>
            <w:r w:rsidR="003777F7" w:rsidRPr="00124000">
              <w:rPr>
                <w:rStyle w:val="rynqvb"/>
                <w:szCs w:val="18"/>
              </w:rPr>
              <w:t>management b</w:t>
            </w:r>
            <w:r w:rsidRPr="00124000">
              <w:rPr>
                <w:rStyle w:val="rynqvb"/>
                <w:szCs w:val="18"/>
              </w:rPr>
              <w:t xml:space="preserve">oard of the Company </w:t>
            </w:r>
            <w:r w:rsidR="00124000" w:rsidRPr="00124000">
              <w:rPr>
                <w:rStyle w:val="rynqvb"/>
                <w:szCs w:val="18"/>
              </w:rPr>
              <w:t>with</w:t>
            </w:r>
            <w:r w:rsidRPr="00124000">
              <w:rPr>
                <w:rStyle w:val="rynqvb"/>
                <w:szCs w:val="18"/>
              </w:rPr>
              <w:t xml:space="preserve"> its decision has the right to grant </w:t>
            </w:r>
            <w:r w:rsidR="00124000" w:rsidRPr="00124000">
              <w:rPr>
                <w:rStyle w:val="rynqvb"/>
                <w:szCs w:val="18"/>
              </w:rPr>
              <w:t xml:space="preserve">share </w:t>
            </w:r>
            <w:r w:rsidRPr="00124000">
              <w:rPr>
                <w:rStyle w:val="rynqvb"/>
                <w:szCs w:val="18"/>
              </w:rPr>
              <w:t>options to the Company's employee</w:t>
            </w:r>
            <w:r w:rsidR="00124000" w:rsidRPr="00124000">
              <w:rPr>
                <w:rStyle w:val="rynqvb"/>
                <w:szCs w:val="18"/>
              </w:rPr>
              <w:t>s</w:t>
            </w:r>
            <w:r w:rsidRPr="00124000">
              <w:rPr>
                <w:rStyle w:val="rynqvb"/>
                <w:szCs w:val="18"/>
              </w:rPr>
              <w:t xml:space="preserve"> in accordance with </w:t>
            </w:r>
            <w:r w:rsidR="00124000" w:rsidRPr="00124000">
              <w:rPr>
                <w:rStyle w:val="rynqvb"/>
                <w:szCs w:val="18"/>
              </w:rPr>
              <w:t>Terms</w:t>
            </w:r>
            <w:r w:rsidRPr="00124000">
              <w:rPr>
                <w:rStyle w:val="rynqvb"/>
                <w:szCs w:val="18"/>
              </w:rPr>
              <w:t>.</w:t>
            </w:r>
            <w:r w:rsidR="00124000" w:rsidRPr="00124000">
              <w:rPr>
                <w:rStyle w:val="rynqvb"/>
                <w:szCs w:val="18"/>
              </w:rPr>
              <w:t xml:space="preserve"> </w:t>
            </w:r>
            <w:r w:rsidR="00124000" w:rsidRPr="00124000">
              <w:rPr>
                <w:rStyle w:val="rynqvb"/>
              </w:rPr>
              <w:t>With the decision on granting share options to the Company's employees, the management board determines the proportion for conversion to the Company's newly issued shares and the relevant holding period framework</w:t>
            </w:r>
            <w:r w:rsidR="00124000" w:rsidRPr="00124000">
              <w:rPr>
                <w:rStyle w:val="rynqvb"/>
              </w:rPr>
              <w:t xml:space="preserve">. </w:t>
            </w:r>
          </w:p>
        </w:tc>
      </w:tr>
      <w:tr w:rsidR="006F501D" w:rsidRPr="00926049" w14:paraId="637AE6EF" w14:textId="77777777" w:rsidTr="00CD454E">
        <w:trPr>
          <w:trHeight w:val="993"/>
          <w:jc w:val="center"/>
        </w:trPr>
        <w:tc>
          <w:tcPr>
            <w:tcW w:w="5145" w:type="dxa"/>
          </w:tcPr>
          <w:p w14:paraId="2CF229DA" w14:textId="1ADB638C" w:rsidR="006F501D" w:rsidRPr="00926049" w:rsidRDefault="006F501D" w:rsidP="00C33718">
            <w:pPr>
              <w:numPr>
                <w:ilvl w:val="1"/>
                <w:numId w:val="1"/>
              </w:numPr>
              <w:autoSpaceDE w:val="0"/>
              <w:autoSpaceDN w:val="0"/>
              <w:adjustRightInd w:val="0"/>
              <w:snapToGrid w:val="0"/>
              <w:spacing w:before="60"/>
              <w:jc w:val="both"/>
              <w:rPr>
                <w:rFonts w:eastAsia="Calibri"/>
                <w:szCs w:val="18"/>
                <w:lang w:val="lv-LV"/>
              </w:rPr>
            </w:pPr>
            <w:r w:rsidRPr="00926049">
              <w:rPr>
                <w:rFonts w:eastAsia="Calibri"/>
                <w:szCs w:val="18"/>
                <w:lang w:val="lv-LV"/>
              </w:rPr>
              <w:t xml:space="preserve">Sabiedrības padome ar savu lēmumu ir tiesīga piešķirt Sabiedrības valdes locekļiem personāla opcijas atbilstoši </w:t>
            </w:r>
            <w:r w:rsidR="00056B70">
              <w:rPr>
                <w:rFonts w:eastAsia="Calibri"/>
                <w:szCs w:val="18"/>
                <w:lang w:val="lv-LV"/>
              </w:rPr>
              <w:t>Noteikumiem</w:t>
            </w:r>
            <w:r w:rsidRPr="00926049">
              <w:rPr>
                <w:rFonts w:eastAsia="Calibri"/>
                <w:szCs w:val="18"/>
                <w:lang w:val="lv-LV"/>
              </w:rPr>
              <w:t>.</w:t>
            </w:r>
            <w:r w:rsidR="003777F7" w:rsidRPr="00455BD9">
              <w:rPr>
                <w:lang w:val="lv-LV"/>
              </w:rPr>
              <w:t xml:space="preserve"> </w:t>
            </w:r>
            <w:r w:rsidR="003777F7" w:rsidRPr="00455BD9">
              <w:rPr>
                <w:lang w:val="lv-LV"/>
              </w:rPr>
              <w:t>Ar lēmumu par opciju piešķiršanu Sabiedrības valdes locekļiem padome nosaka proporciju konversijas veikšanai uz Sabiedrības jaunās emisijas akcijām un attiecīgo Turēšanas perioda ietvaru</w:t>
            </w:r>
            <w:r w:rsidR="003777F7">
              <w:rPr>
                <w:lang w:val="lv-LV"/>
              </w:rPr>
              <w:t>.</w:t>
            </w:r>
          </w:p>
        </w:tc>
        <w:tc>
          <w:tcPr>
            <w:tcW w:w="5061" w:type="dxa"/>
          </w:tcPr>
          <w:p w14:paraId="613C5AF9" w14:textId="29D12252" w:rsidR="006F501D" w:rsidRPr="00124000" w:rsidRDefault="00801CE2" w:rsidP="00C33718">
            <w:pPr>
              <w:numPr>
                <w:ilvl w:val="1"/>
                <w:numId w:val="2"/>
              </w:numPr>
              <w:autoSpaceDE w:val="0"/>
              <w:autoSpaceDN w:val="0"/>
              <w:adjustRightInd w:val="0"/>
              <w:snapToGrid w:val="0"/>
              <w:spacing w:before="60"/>
              <w:ind w:left="704"/>
              <w:jc w:val="both"/>
              <w:rPr>
                <w:rFonts w:eastAsia="Times New Roman" w:cs="Times New Roman"/>
                <w:bCs/>
                <w:szCs w:val="18"/>
                <w:lang w:eastAsia="lv-LV"/>
              </w:rPr>
            </w:pPr>
            <w:r w:rsidRPr="00124000">
              <w:rPr>
                <w:rStyle w:val="rynqvb"/>
                <w:szCs w:val="18"/>
              </w:rPr>
              <w:t xml:space="preserve">The </w:t>
            </w:r>
            <w:r>
              <w:rPr>
                <w:rStyle w:val="rynqvb"/>
                <w:szCs w:val="18"/>
              </w:rPr>
              <w:t>supervisory</w:t>
            </w:r>
            <w:r w:rsidRPr="00124000">
              <w:rPr>
                <w:rStyle w:val="rynqvb"/>
                <w:szCs w:val="18"/>
              </w:rPr>
              <w:t xml:space="preserve"> board of the Company with its decision has the right to grant share options to the Company's </w:t>
            </w:r>
            <w:r>
              <w:rPr>
                <w:rStyle w:val="rynqvb"/>
                <w:szCs w:val="18"/>
              </w:rPr>
              <w:t>management board</w:t>
            </w:r>
            <w:r w:rsidRPr="00124000">
              <w:rPr>
                <w:rStyle w:val="rynqvb"/>
                <w:szCs w:val="18"/>
              </w:rPr>
              <w:t xml:space="preserve"> in accordance with Terms</w:t>
            </w:r>
            <w:r>
              <w:rPr>
                <w:rStyle w:val="rynqvb"/>
                <w:szCs w:val="18"/>
              </w:rPr>
              <w:t>.</w:t>
            </w:r>
            <w:r w:rsidRPr="00455BD9">
              <w:rPr>
                <w:rStyle w:val="rynqvb"/>
                <w:lang w:val="en"/>
              </w:rPr>
              <w:t xml:space="preserve"> </w:t>
            </w:r>
            <w:r w:rsidRPr="00455BD9">
              <w:rPr>
                <w:rStyle w:val="rynqvb"/>
                <w:lang w:val="en"/>
              </w:rPr>
              <w:t>With the decision on granting share options to the Company's management board, the supervisory board determines the proportion for conversion to the Company's newly issued shares and the relevant holding period framework</w:t>
            </w:r>
            <w:r>
              <w:rPr>
                <w:rStyle w:val="rynqvb"/>
                <w:lang w:val="en"/>
              </w:rPr>
              <w:t>.</w:t>
            </w:r>
          </w:p>
        </w:tc>
      </w:tr>
      <w:tr w:rsidR="00247B81" w:rsidRPr="00926049" w14:paraId="20987EF6" w14:textId="77777777" w:rsidTr="00A07EC4">
        <w:trPr>
          <w:trHeight w:val="2527"/>
          <w:jc w:val="center"/>
        </w:trPr>
        <w:tc>
          <w:tcPr>
            <w:tcW w:w="5145" w:type="dxa"/>
          </w:tcPr>
          <w:p w14:paraId="79153F17" w14:textId="4994881E" w:rsidR="005866DA" w:rsidRPr="00926049" w:rsidRDefault="006F501D" w:rsidP="00C33718">
            <w:pPr>
              <w:numPr>
                <w:ilvl w:val="1"/>
                <w:numId w:val="1"/>
              </w:numPr>
              <w:autoSpaceDE w:val="0"/>
              <w:autoSpaceDN w:val="0"/>
              <w:adjustRightInd w:val="0"/>
              <w:snapToGrid w:val="0"/>
              <w:spacing w:before="60"/>
              <w:jc w:val="both"/>
              <w:rPr>
                <w:rFonts w:eastAsia="Times New Roman" w:cs="Times New Roman"/>
                <w:bCs/>
                <w:szCs w:val="18"/>
                <w:lang w:val="lv-LV" w:eastAsia="lv-LV" w:bidi="lv-LV"/>
              </w:rPr>
            </w:pPr>
            <w:r w:rsidRPr="00926049">
              <w:rPr>
                <w:rFonts w:eastAsia="Calibri"/>
                <w:szCs w:val="18"/>
                <w:lang w:val="lv-LV"/>
              </w:rPr>
              <w:lastRenderedPageBreak/>
              <w:t xml:space="preserve">Valdei ir pienākums 10 (desmit) dienu laikā no valdes vai padomes lēmuma pieņemšanas brīža ierakstīt ziņas par </w:t>
            </w:r>
            <w:r w:rsidR="007571BC">
              <w:rPr>
                <w:rFonts w:eastAsia="Calibri"/>
                <w:szCs w:val="18"/>
                <w:lang w:val="lv-LV"/>
              </w:rPr>
              <w:t>Opciju turētāju</w:t>
            </w:r>
            <w:r w:rsidRPr="00926049">
              <w:rPr>
                <w:rFonts w:eastAsia="Calibri"/>
                <w:szCs w:val="18"/>
                <w:lang w:val="lv-LV"/>
              </w:rPr>
              <w:t xml:space="preserve"> Sabiedrības personāla opciju turētāju reģistrā</w:t>
            </w:r>
            <w:r w:rsidR="000B1288">
              <w:rPr>
                <w:rFonts w:eastAsia="Calibri"/>
                <w:szCs w:val="18"/>
                <w:lang w:val="lv-LV"/>
              </w:rPr>
              <w:t xml:space="preserve"> (turpmāk – </w:t>
            </w:r>
            <w:r w:rsidR="000B1288" w:rsidRPr="000B1288">
              <w:rPr>
                <w:rFonts w:eastAsia="Calibri"/>
                <w:b/>
                <w:bCs/>
                <w:szCs w:val="18"/>
                <w:lang w:val="lv-LV"/>
              </w:rPr>
              <w:t>Opciju reģistrs</w:t>
            </w:r>
            <w:r w:rsidR="000B1288">
              <w:rPr>
                <w:rFonts w:eastAsia="Calibri"/>
                <w:szCs w:val="18"/>
                <w:lang w:val="lv-LV"/>
              </w:rPr>
              <w:t>)</w:t>
            </w:r>
            <w:r w:rsidRPr="00926049">
              <w:rPr>
                <w:rFonts w:eastAsia="Calibri"/>
                <w:szCs w:val="18"/>
                <w:lang w:val="lv-LV"/>
              </w:rPr>
              <w:t xml:space="preserve"> atbilstoši Komerclikum</w:t>
            </w:r>
            <w:r w:rsidR="00F47DF2">
              <w:rPr>
                <w:rFonts w:eastAsia="Calibri"/>
                <w:szCs w:val="18"/>
                <w:lang w:val="lv-LV"/>
              </w:rPr>
              <w:t>am</w:t>
            </w:r>
            <w:r w:rsidRPr="00926049">
              <w:rPr>
                <w:rFonts w:eastAsia="Calibri"/>
                <w:szCs w:val="18"/>
                <w:lang w:val="lv-LV"/>
              </w:rPr>
              <w:t xml:space="preserve">. Sabiedrības darbinieki vai valdes locekļi kļūst par Sabiedrības </w:t>
            </w:r>
            <w:r w:rsidR="005E72C0">
              <w:rPr>
                <w:rFonts w:eastAsia="Calibri"/>
                <w:szCs w:val="18"/>
                <w:lang w:val="lv-LV"/>
              </w:rPr>
              <w:t>Opciju</w:t>
            </w:r>
            <w:r w:rsidRPr="00926049">
              <w:rPr>
                <w:rFonts w:eastAsia="Calibri"/>
                <w:szCs w:val="18"/>
                <w:lang w:val="lv-LV"/>
              </w:rPr>
              <w:t xml:space="preserve"> turētājiem no brīža, kad </w:t>
            </w:r>
            <w:r w:rsidR="000B1288">
              <w:rPr>
                <w:rFonts w:eastAsia="Calibri"/>
                <w:szCs w:val="18"/>
                <w:lang w:val="lv-LV"/>
              </w:rPr>
              <w:t>Opciju r</w:t>
            </w:r>
            <w:r w:rsidRPr="00926049">
              <w:rPr>
                <w:rFonts w:eastAsia="Calibri"/>
                <w:szCs w:val="18"/>
                <w:lang w:val="lv-LV"/>
              </w:rPr>
              <w:t xml:space="preserve">eģistrā ir ierakstītas ziņas par </w:t>
            </w:r>
            <w:r w:rsidR="005E72C0">
              <w:rPr>
                <w:rFonts w:eastAsia="Calibri"/>
                <w:szCs w:val="18"/>
                <w:lang w:val="lv-LV"/>
              </w:rPr>
              <w:t>Opciju turētājiem.</w:t>
            </w:r>
          </w:p>
        </w:tc>
        <w:tc>
          <w:tcPr>
            <w:tcW w:w="5061" w:type="dxa"/>
          </w:tcPr>
          <w:p w14:paraId="3F224406" w14:textId="546AB277" w:rsidR="006D5BD7" w:rsidRPr="00124000" w:rsidRDefault="007571BC" w:rsidP="00C33718">
            <w:pPr>
              <w:numPr>
                <w:ilvl w:val="1"/>
                <w:numId w:val="2"/>
              </w:numPr>
              <w:autoSpaceDE w:val="0"/>
              <w:autoSpaceDN w:val="0"/>
              <w:adjustRightInd w:val="0"/>
              <w:snapToGrid w:val="0"/>
              <w:spacing w:before="60"/>
              <w:ind w:left="704"/>
              <w:jc w:val="both"/>
              <w:rPr>
                <w:rFonts w:eastAsia="Times New Roman" w:cs="Times New Roman"/>
                <w:bCs/>
                <w:szCs w:val="18"/>
                <w:lang w:eastAsia="lv-LV"/>
              </w:rPr>
            </w:pPr>
            <w:r w:rsidRPr="007571BC">
              <w:rPr>
                <w:rFonts w:eastAsia="Times New Roman" w:cs="Times New Roman"/>
                <w:bCs/>
                <w:szCs w:val="18"/>
                <w:lang w:val="en" w:eastAsia="lv-LV"/>
              </w:rPr>
              <w:t xml:space="preserve">The </w:t>
            </w:r>
            <w:r>
              <w:rPr>
                <w:rFonts w:eastAsia="Times New Roman" w:cs="Times New Roman"/>
                <w:bCs/>
                <w:szCs w:val="18"/>
                <w:lang w:val="en" w:eastAsia="lv-LV"/>
              </w:rPr>
              <w:t xml:space="preserve">management </w:t>
            </w:r>
            <w:r w:rsidRPr="007571BC">
              <w:rPr>
                <w:rFonts w:eastAsia="Times New Roman" w:cs="Times New Roman"/>
                <w:bCs/>
                <w:szCs w:val="18"/>
                <w:lang w:val="en" w:eastAsia="lv-LV"/>
              </w:rPr>
              <w:t xml:space="preserve">board is </w:t>
            </w:r>
            <w:r>
              <w:rPr>
                <w:rFonts w:eastAsia="Times New Roman" w:cs="Times New Roman"/>
                <w:bCs/>
                <w:szCs w:val="18"/>
                <w:lang w:val="en" w:eastAsia="lv-LV"/>
              </w:rPr>
              <w:t>responsible</w:t>
            </w:r>
            <w:r w:rsidRPr="007571BC">
              <w:rPr>
                <w:rFonts w:eastAsia="Times New Roman" w:cs="Times New Roman"/>
                <w:bCs/>
                <w:szCs w:val="18"/>
                <w:lang w:val="en" w:eastAsia="lv-LV"/>
              </w:rPr>
              <w:t xml:space="preserve"> to </w:t>
            </w:r>
            <w:r w:rsidR="00073A41">
              <w:rPr>
                <w:rFonts w:eastAsia="Times New Roman" w:cs="Times New Roman"/>
                <w:bCs/>
                <w:szCs w:val="18"/>
                <w:lang w:val="en" w:eastAsia="lv-LV"/>
              </w:rPr>
              <w:t>register</w:t>
            </w:r>
            <w:r w:rsidRPr="007571BC">
              <w:rPr>
                <w:rFonts w:eastAsia="Times New Roman" w:cs="Times New Roman"/>
                <w:bCs/>
                <w:szCs w:val="18"/>
                <w:lang w:val="en" w:eastAsia="lv-LV"/>
              </w:rPr>
              <w:t xml:space="preserve"> information about the </w:t>
            </w:r>
            <w:r>
              <w:rPr>
                <w:rFonts w:eastAsia="Times New Roman" w:cs="Times New Roman"/>
                <w:bCs/>
                <w:szCs w:val="18"/>
                <w:lang w:val="en" w:eastAsia="lv-LV"/>
              </w:rPr>
              <w:t>Option Holder</w:t>
            </w:r>
            <w:r w:rsidRPr="007571BC">
              <w:rPr>
                <w:rFonts w:eastAsia="Times New Roman" w:cs="Times New Roman"/>
                <w:bCs/>
                <w:szCs w:val="18"/>
                <w:lang w:val="en" w:eastAsia="lv-LV"/>
              </w:rPr>
              <w:t xml:space="preserve"> in the </w:t>
            </w:r>
            <w:r>
              <w:rPr>
                <w:rFonts w:eastAsia="Times New Roman" w:cs="Times New Roman"/>
                <w:bCs/>
                <w:szCs w:val="18"/>
                <w:lang w:val="en" w:eastAsia="lv-LV"/>
              </w:rPr>
              <w:t>share option holders</w:t>
            </w:r>
            <w:r w:rsidR="000063B5">
              <w:rPr>
                <w:rFonts w:eastAsia="Times New Roman" w:cs="Times New Roman"/>
                <w:bCs/>
                <w:szCs w:val="18"/>
                <w:lang w:val="en" w:eastAsia="lv-LV"/>
              </w:rPr>
              <w:t>’</w:t>
            </w:r>
            <w:r w:rsidRPr="007571BC">
              <w:rPr>
                <w:rFonts w:eastAsia="Times New Roman" w:cs="Times New Roman"/>
                <w:bCs/>
                <w:szCs w:val="18"/>
                <w:lang w:val="en" w:eastAsia="lv-LV"/>
              </w:rPr>
              <w:t xml:space="preserve"> </w:t>
            </w:r>
            <w:r w:rsidR="000063B5" w:rsidRPr="007571BC">
              <w:rPr>
                <w:rFonts w:eastAsia="Times New Roman" w:cs="Times New Roman"/>
                <w:bCs/>
                <w:szCs w:val="18"/>
                <w:lang w:val="en" w:eastAsia="lv-LV"/>
              </w:rPr>
              <w:t>register</w:t>
            </w:r>
            <w:r w:rsidR="000063B5" w:rsidRPr="007571BC">
              <w:rPr>
                <w:rFonts w:eastAsia="Times New Roman" w:cs="Times New Roman"/>
                <w:bCs/>
                <w:szCs w:val="18"/>
                <w:lang w:val="en" w:eastAsia="lv-LV"/>
              </w:rPr>
              <w:t xml:space="preserve"> </w:t>
            </w:r>
            <w:r w:rsidRPr="007571BC">
              <w:rPr>
                <w:rFonts w:eastAsia="Times New Roman" w:cs="Times New Roman"/>
                <w:bCs/>
                <w:szCs w:val="18"/>
                <w:lang w:val="en" w:eastAsia="lv-LV"/>
              </w:rPr>
              <w:t xml:space="preserve">of the Company </w:t>
            </w:r>
            <w:r w:rsidR="00073A41">
              <w:rPr>
                <w:rFonts w:eastAsia="Times New Roman" w:cs="Times New Roman"/>
                <w:bCs/>
                <w:szCs w:val="18"/>
                <w:lang w:val="en" w:eastAsia="lv-LV"/>
              </w:rPr>
              <w:t xml:space="preserve">(hereinafter – </w:t>
            </w:r>
            <w:r w:rsidR="00073A41">
              <w:rPr>
                <w:rFonts w:eastAsia="Times New Roman" w:cs="Times New Roman"/>
                <w:b/>
                <w:szCs w:val="18"/>
                <w:lang w:val="en" w:eastAsia="lv-LV"/>
              </w:rPr>
              <w:t xml:space="preserve">Option </w:t>
            </w:r>
            <w:r w:rsidR="00073A41" w:rsidRPr="00073A41">
              <w:rPr>
                <w:rFonts w:eastAsia="Times New Roman" w:cs="Times New Roman"/>
                <w:b/>
                <w:szCs w:val="18"/>
                <w:lang w:val="en" w:eastAsia="lv-LV"/>
              </w:rPr>
              <w:t>register</w:t>
            </w:r>
            <w:r w:rsidR="00073A41">
              <w:rPr>
                <w:rFonts w:eastAsia="Times New Roman" w:cs="Times New Roman"/>
                <w:bCs/>
                <w:szCs w:val="18"/>
                <w:lang w:val="en" w:eastAsia="lv-LV"/>
              </w:rPr>
              <w:t xml:space="preserve">) </w:t>
            </w:r>
            <w:r w:rsidRPr="00073A41">
              <w:rPr>
                <w:rFonts w:eastAsia="Times New Roman" w:cs="Times New Roman"/>
                <w:bCs/>
                <w:szCs w:val="18"/>
                <w:lang w:val="en" w:eastAsia="lv-LV"/>
              </w:rPr>
              <w:t>within</w:t>
            </w:r>
            <w:r w:rsidRPr="007571BC">
              <w:rPr>
                <w:rFonts w:eastAsia="Times New Roman" w:cs="Times New Roman"/>
                <w:bCs/>
                <w:szCs w:val="18"/>
                <w:lang w:val="en" w:eastAsia="lv-LV"/>
              </w:rPr>
              <w:t xml:space="preserve"> 10 (ten) days from the moment of </w:t>
            </w:r>
            <w:r>
              <w:rPr>
                <w:rFonts w:eastAsia="Times New Roman" w:cs="Times New Roman"/>
                <w:bCs/>
                <w:szCs w:val="18"/>
                <w:lang w:val="en" w:eastAsia="lv-LV"/>
              </w:rPr>
              <w:t>adopting the decision</w:t>
            </w:r>
            <w:r w:rsidRPr="007571BC">
              <w:rPr>
                <w:rFonts w:eastAsia="Times New Roman" w:cs="Times New Roman"/>
                <w:bCs/>
                <w:szCs w:val="18"/>
                <w:lang w:val="en" w:eastAsia="lv-LV"/>
              </w:rPr>
              <w:t xml:space="preserve"> of </w:t>
            </w:r>
            <w:r w:rsidR="00F47DF2">
              <w:rPr>
                <w:rFonts w:eastAsia="Times New Roman" w:cs="Times New Roman"/>
                <w:bCs/>
                <w:szCs w:val="18"/>
                <w:lang w:val="en" w:eastAsia="lv-LV"/>
              </w:rPr>
              <w:t>management board or supervisory board</w:t>
            </w:r>
            <w:r w:rsidRPr="007571BC">
              <w:rPr>
                <w:rFonts w:eastAsia="Times New Roman" w:cs="Times New Roman"/>
                <w:bCs/>
                <w:szCs w:val="18"/>
                <w:lang w:val="en" w:eastAsia="lv-LV"/>
              </w:rPr>
              <w:t xml:space="preserve"> </w:t>
            </w:r>
            <w:r w:rsidR="00F47DF2">
              <w:rPr>
                <w:rFonts w:eastAsia="Times New Roman" w:cs="Times New Roman"/>
                <w:bCs/>
                <w:szCs w:val="18"/>
                <w:lang w:val="en" w:eastAsia="lv-LV"/>
              </w:rPr>
              <w:t>according to</w:t>
            </w:r>
            <w:r w:rsidRPr="007571BC">
              <w:rPr>
                <w:rFonts w:eastAsia="Times New Roman" w:cs="Times New Roman"/>
                <w:bCs/>
                <w:szCs w:val="18"/>
                <w:lang w:val="en" w:eastAsia="lv-LV"/>
              </w:rPr>
              <w:t xml:space="preserve"> Commercial Law. Company</w:t>
            </w:r>
            <w:r w:rsidR="005E72C0">
              <w:rPr>
                <w:rFonts w:eastAsia="Times New Roman" w:cs="Times New Roman"/>
                <w:bCs/>
                <w:szCs w:val="18"/>
                <w:lang w:val="en" w:eastAsia="lv-LV"/>
              </w:rPr>
              <w:t>’s</w:t>
            </w:r>
            <w:r w:rsidRPr="007571BC">
              <w:rPr>
                <w:rFonts w:eastAsia="Times New Roman" w:cs="Times New Roman"/>
                <w:bCs/>
                <w:szCs w:val="18"/>
                <w:lang w:val="en" w:eastAsia="lv-LV"/>
              </w:rPr>
              <w:t xml:space="preserve"> employees o</w:t>
            </w:r>
            <w:r w:rsidR="005E72C0">
              <w:rPr>
                <w:rFonts w:eastAsia="Times New Roman" w:cs="Times New Roman"/>
                <w:bCs/>
                <w:szCs w:val="18"/>
                <w:lang w:val="en" w:eastAsia="lv-LV"/>
              </w:rPr>
              <w:t>r management</w:t>
            </w:r>
            <w:r w:rsidRPr="007571BC">
              <w:rPr>
                <w:rFonts w:eastAsia="Times New Roman" w:cs="Times New Roman"/>
                <w:bCs/>
                <w:szCs w:val="18"/>
                <w:lang w:val="en" w:eastAsia="lv-LV"/>
              </w:rPr>
              <w:t xml:space="preserve"> board members become </w:t>
            </w:r>
            <w:r w:rsidR="005E72C0">
              <w:rPr>
                <w:rFonts w:eastAsia="Times New Roman" w:cs="Times New Roman"/>
                <w:bCs/>
                <w:szCs w:val="18"/>
                <w:lang w:val="en" w:eastAsia="lv-LV"/>
              </w:rPr>
              <w:t>t</w:t>
            </w:r>
            <w:r w:rsidRPr="007571BC">
              <w:rPr>
                <w:rFonts w:eastAsia="Times New Roman" w:cs="Times New Roman"/>
                <w:bCs/>
                <w:szCs w:val="18"/>
                <w:lang w:val="en" w:eastAsia="lv-LV"/>
              </w:rPr>
              <w:t xml:space="preserve">he Company's </w:t>
            </w:r>
            <w:r w:rsidR="005E72C0">
              <w:rPr>
                <w:rFonts w:eastAsia="Times New Roman" w:cs="Times New Roman"/>
                <w:bCs/>
                <w:szCs w:val="18"/>
                <w:lang w:val="en" w:eastAsia="lv-LV"/>
              </w:rPr>
              <w:t>Option holders</w:t>
            </w:r>
            <w:r w:rsidRPr="007571BC">
              <w:rPr>
                <w:rFonts w:eastAsia="Times New Roman" w:cs="Times New Roman"/>
                <w:bCs/>
                <w:szCs w:val="18"/>
                <w:lang w:val="en" w:eastAsia="lv-LV"/>
              </w:rPr>
              <w:t xml:space="preserve"> from the moment when </w:t>
            </w:r>
            <w:r w:rsidR="005E72C0">
              <w:rPr>
                <w:rFonts w:eastAsia="Times New Roman" w:cs="Times New Roman"/>
                <w:bCs/>
                <w:szCs w:val="18"/>
                <w:lang w:val="en" w:eastAsia="lv-LV"/>
              </w:rPr>
              <w:t xml:space="preserve">the relevant </w:t>
            </w:r>
            <w:r w:rsidR="00073A41">
              <w:rPr>
                <w:rFonts w:eastAsia="Times New Roman" w:cs="Times New Roman"/>
                <w:bCs/>
                <w:szCs w:val="18"/>
                <w:lang w:val="en" w:eastAsia="lv-LV"/>
              </w:rPr>
              <w:t>entry</w:t>
            </w:r>
            <w:r w:rsidR="005E72C0">
              <w:rPr>
                <w:rFonts w:eastAsia="Times New Roman" w:cs="Times New Roman"/>
                <w:bCs/>
                <w:szCs w:val="18"/>
                <w:lang w:val="en" w:eastAsia="lv-LV"/>
              </w:rPr>
              <w:t xml:space="preserve"> on Option Holders is </w:t>
            </w:r>
            <w:r w:rsidR="00073A41">
              <w:rPr>
                <w:rFonts w:eastAsia="Times New Roman" w:cs="Times New Roman"/>
                <w:bCs/>
                <w:szCs w:val="18"/>
                <w:lang w:val="en" w:eastAsia="lv-LV"/>
              </w:rPr>
              <w:t xml:space="preserve">made in the Option </w:t>
            </w:r>
            <w:r w:rsidRPr="007571BC">
              <w:rPr>
                <w:rFonts w:eastAsia="Times New Roman" w:cs="Times New Roman"/>
                <w:bCs/>
                <w:szCs w:val="18"/>
                <w:lang w:val="en" w:eastAsia="lv-LV"/>
              </w:rPr>
              <w:t>r</w:t>
            </w:r>
            <w:r w:rsidR="00073A41">
              <w:rPr>
                <w:rFonts w:eastAsia="Times New Roman" w:cs="Times New Roman"/>
                <w:bCs/>
                <w:szCs w:val="18"/>
                <w:lang w:val="en" w:eastAsia="lv-LV"/>
              </w:rPr>
              <w:t>egister</w:t>
            </w:r>
            <w:r w:rsidRPr="007571BC">
              <w:rPr>
                <w:rFonts w:eastAsia="Times New Roman" w:cs="Times New Roman"/>
                <w:bCs/>
                <w:szCs w:val="18"/>
                <w:lang w:val="en" w:eastAsia="lv-LV"/>
              </w:rPr>
              <w:t>.</w:t>
            </w:r>
          </w:p>
        </w:tc>
      </w:tr>
      <w:tr w:rsidR="00247B81" w:rsidRPr="00926049" w14:paraId="5170254D" w14:textId="77777777" w:rsidTr="008B5E1E">
        <w:trPr>
          <w:trHeight w:val="80"/>
          <w:jc w:val="center"/>
        </w:trPr>
        <w:tc>
          <w:tcPr>
            <w:tcW w:w="5145" w:type="dxa"/>
          </w:tcPr>
          <w:p w14:paraId="154B629C" w14:textId="73970221" w:rsidR="00247B81" w:rsidRPr="00926049" w:rsidRDefault="00647C7C" w:rsidP="00C33718">
            <w:pPr>
              <w:numPr>
                <w:ilvl w:val="1"/>
                <w:numId w:val="1"/>
              </w:numPr>
              <w:autoSpaceDE w:val="0"/>
              <w:autoSpaceDN w:val="0"/>
              <w:adjustRightInd w:val="0"/>
              <w:snapToGrid w:val="0"/>
              <w:spacing w:before="60"/>
              <w:jc w:val="both"/>
              <w:rPr>
                <w:rFonts w:eastAsia="Arial" w:cs="Arial"/>
                <w:szCs w:val="18"/>
                <w:lang w:val="lv-LV" w:eastAsia="en-US"/>
              </w:rPr>
            </w:pPr>
            <w:r w:rsidRPr="00926049">
              <w:rPr>
                <w:rFonts w:eastAsia="Calibri"/>
                <w:szCs w:val="18"/>
                <w:lang w:val="lv-LV"/>
              </w:rPr>
              <w:t xml:space="preserve">Sabiedrības valde (vai Sabiedrības padome attiecībā uz Opciju turētājiem – valdes locekļiem) pēc lēmuma par opciju piešķiršanu pieņemšanas katram Opciju turētājam </w:t>
            </w:r>
            <w:r w:rsidR="009209D1">
              <w:rPr>
                <w:rFonts w:eastAsia="Calibri"/>
                <w:szCs w:val="18"/>
                <w:lang w:val="lv-LV"/>
              </w:rPr>
              <w:t>paziņo</w:t>
            </w:r>
            <w:r w:rsidRPr="00926049">
              <w:rPr>
                <w:rFonts w:eastAsia="Calibri"/>
                <w:szCs w:val="18"/>
                <w:lang w:val="lv-LV"/>
              </w:rPr>
              <w:t xml:space="preserve"> par Opciju turētājam piešķirtajām personāla opcijām.</w:t>
            </w:r>
          </w:p>
        </w:tc>
        <w:tc>
          <w:tcPr>
            <w:tcW w:w="5061" w:type="dxa"/>
          </w:tcPr>
          <w:p w14:paraId="0812B9D7" w14:textId="081E3510" w:rsidR="00247B81" w:rsidRPr="00124000" w:rsidRDefault="00225B17" w:rsidP="00C33718">
            <w:pPr>
              <w:numPr>
                <w:ilvl w:val="1"/>
                <w:numId w:val="2"/>
              </w:numPr>
              <w:autoSpaceDE w:val="0"/>
              <w:autoSpaceDN w:val="0"/>
              <w:adjustRightInd w:val="0"/>
              <w:snapToGrid w:val="0"/>
              <w:spacing w:before="60"/>
              <w:ind w:left="704"/>
              <w:jc w:val="both"/>
              <w:rPr>
                <w:rFonts w:eastAsia="Times New Roman" w:cs="Times New Roman"/>
                <w:bCs/>
                <w:szCs w:val="18"/>
                <w:lang w:eastAsia="lv-LV"/>
              </w:rPr>
            </w:pPr>
            <w:r w:rsidRPr="00F6575B">
              <w:rPr>
                <w:color w:val="000000"/>
                <w:szCs w:val="18"/>
                <w:lang w:eastAsia="en-US" w:bidi="en-US"/>
              </w:rPr>
              <w:t>Management B</w:t>
            </w:r>
            <w:r w:rsidRPr="00F6575B">
              <w:rPr>
                <w:color w:val="000000"/>
                <w:szCs w:val="18"/>
                <w:lang w:eastAsia="en-US" w:bidi="en-US"/>
              </w:rPr>
              <w:t xml:space="preserve">oard of the Company (or the </w:t>
            </w:r>
            <w:r w:rsidRPr="00F6575B">
              <w:rPr>
                <w:color w:val="000000"/>
                <w:szCs w:val="18"/>
                <w:lang w:eastAsia="en-US" w:bidi="en-US"/>
              </w:rPr>
              <w:t xml:space="preserve">Supervisory </w:t>
            </w:r>
            <w:r w:rsidRPr="00F6575B">
              <w:rPr>
                <w:color w:val="000000"/>
                <w:szCs w:val="18"/>
                <w:lang w:eastAsia="en-US" w:bidi="en-US"/>
              </w:rPr>
              <w:t xml:space="preserve">Board of the Company in the case of Option </w:t>
            </w:r>
            <w:r w:rsidRPr="00F6575B">
              <w:rPr>
                <w:color w:val="000000"/>
                <w:szCs w:val="18"/>
                <w:lang w:eastAsia="en-US" w:bidi="en-US"/>
              </w:rPr>
              <w:t>H</w:t>
            </w:r>
            <w:r w:rsidRPr="00F6575B">
              <w:rPr>
                <w:color w:val="000000"/>
                <w:szCs w:val="18"/>
                <w:lang w:eastAsia="en-US" w:bidi="en-US"/>
              </w:rPr>
              <w:t xml:space="preserve">olders – </w:t>
            </w:r>
            <w:r w:rsidRPr="00F6575B">
              <w:rPr>
                <w:color w:val="000000"/>
                <w:szCs w:val="18"/>
                <w:lang w:eastAsia="en-US" w:bidi="en-US"/>
              </w:rPr>
              <w:t>management</w:t>
            </w:r>
            <w:r>
              <w:rPr>
                <w:color w:val="000000"/>
                <w:szCs w:val="18"/>
                <w:lang w:val="en" w:eastAsia="en-US" w:bidi="en-US"/>
              </w:rPr>
              <w:t xml:space="preserve"> board members</w:t>
            </w:r>
            <w:r w:rsidRPr="00225B17">
              <w:rPr>
                <w:color w:val="000000"/>
                <w:szCs w:val="18"/>
                <w:lang w:val="en" w:eastAsia="en-US" w:bidi="en-US"/>
              </w:rPr>
              <w:t xml:space="preserve">) </w:t>
            </w:r>
            <w:r w:rsidR="009209D1">
              <w:rPr>
                <w:color w:val="000000"/>
                <w:szCs w:val="18"/>
                <w:lang w:val="en" w:eastAsia="en-US" w:bidi="en-US"/>
              </w:rPr>
              <w:t>informs</w:t>
            </w:r>
            <w:r w:rsidRPr="00225B17">
              <w:rPr>
                <w:color w:val="000000"/>
                <w:szCs w:val="18"/>
                <w:lang w:val="en" w:eastAsia="en-US" w:bidi="en-US"/>
              </w:rPr>
              <w:t xml:space="preserve"> each Option </w:t>
            </w:r>
            <w:r w:rsidR="006E59F0">
              <w:rPr>
                <w:color w:val="000000"/>
                <w:szCs w:val="18"/>
                <w:lang w:val="en" w:eastAsia="en-US" w:bidi="en-US"/>
              </w:rPr>
              <w:t>H</w:t>
            </w:r>
            <w:r w:rsidRPr="00225B17">
              <w:rPr>
                <w:color w:val="000000"/>
                <w:szCs w:val="18"/>
                <w:lang w:val="en" w:eastAsia="en-US" w:bidi="en-US"/>
              </w:rPr>
              <w:t xml:space="preserve">older </w:t>
            </w:r>
            <w:r w:rsidR="006E59F0">
              <w:rPr>
                <w:color w:val="000000"/>
                <w:szCs w:val="18"/>
                <w:lang w:val="en" w:eastAsia="en-US" w:bidi="en-US"/>
              </w:rPr>
              <w:t>on granted share options to the Option holder after adopting the relevant decision</w:t>
            </w:r>
            <w:r w:rsidRPr="00225B17">
              <w:rPr>
                <w:color w:val="000000"/>
                <w:szCs w:val="18"/>
                <w:lang w:val="en" w:eastAsia="en-US" w:bidi="en-US"/>
              </w:rPr>
              <w:t>.</w:t>
            </w:r>
          </w:p>
        </w:tc>
      </w:tr>
      <w:tr w:rsidR="00247B81" w:rsidRPr="00926049" w14:paraId="2D690349" w14:textId="77777777" w:rsidTr="008B5E1E">
        <w:trPr>
          <w:trHeight w:val="80"/>
          <w:jc w:val="center"/>
        </w:trPr>
        <w:tc>
          <w:tcPr>
            <w:tcW w:w="5145" w:type="dxa"/>
          </w:tcPr>
          <w:p w14:paraId="5653DDA7" w14:textId="50A3BEE1" w:rsidR="00247B81" w:rsidRPr="00926049" w:rsidRDefault="00FF1706" w:rsidP="00C33718">
            <w:pPr>
              <w:numPr>
                <w:ilvl w:val="1"/>
                <w:numId w:val="1"/>
              </w:numPr>
              <w:autoSpaceDE w:val="0"/>
              <w:autoSpaceDN w:val="0"/>
              <w:adjustRightInd w:val="0"/>
              <w:snapToGrid w:val="0"/>
              <w:spacing w:before="60"/>
              <w:jc w:val="both"/>
              <w:rPr>
                <w:szCs w:val="18"/>
                <w:lang w:val="lv-LV"/>
              </w:rPr>
            </w:pPr>
            <w:r w:rsidRPr="00926049">
              <w:rPr>
                <w:color w:val="000000"/>
                <w:szCs w:val="18"/>
                <w:lang w:val="lv-LV" w:eastAsia="lv-LV" w:bidi="lv-LV"/>
              </w:rPr>
              <w:t>Personāla opcijas nav atsavināmas, un tās nevar tikt mantotas.</w:t>
            </w:r>
          </w:p>
        </w:tc>
        <w:tc>
          <w:tcPr>
            <w:tcW w:w="5061" w:type="dxa"/>
          </w:tcPr>
          <w:p w14:paraId="6A6B31F9" w14:textId="78CC4A39" w:rsidR="00247B81" w:rsidRPr="00124000" w:rsidRDefault="006D5BD7" w:rsidP="00C33718">
            <w:pPr>
              <w:numPr>
                <w:ilvl w:val="1"/>
                <w:numId w:val="2"/>
              </w:numPr>
              <w:autoSpaceDE w:val="0"/>
              <w:autoSpaceDN w:val="0"/>
              <w:adjustRightInd w:val="0"/>
              <w:snapToGrid w:val="0"/>
              <w:spacing w:before="60"/>
              <w:ind w:left="704"/>
              <w:jc w:val="both"/>
              <w:rPr>
                <w:color w:val="000000"/>
                <w:szCs w:val="18"/>
                <w:lang w:eastAsia="en-US" w:bidi="en-US"/>
              </w:rPr>
            </w:pPr>
            <w:r w:rsidRPr="00124000">
              <w:rPr>
                <w:color w:val="000000"/>
                <w:szCs w:val="18"/>
                <w:lang w:eastAsia="en-US" w:bidi="en-US"/>
              </w:rPr>
              <w:t xml:space="preserve">The </w:t>
            </w:r>
            <w:r w:rsidR="000F1A0B">
              <w:rPr>
                <w:color w:val="000000"/>
                <w:szCs w:val="18"/>
                <w:lang w:eastAsia="en-US" w:bidi="en-US"/>
              </w:rPr>
              <w:t>share</w:t>
            </w:r>
            <w:r w:rsidRPr="00124000">
              <w:rPr>
                <w:color w:val="000000"/>
                <w:szCs w:val="18"/>
                <w:lang w:eastAsia="en-US" w:bidi="en-US"/>
              </w:rPr>
              <w:t xml:space="preserve"> options may not be </w:t>
            </w:r>
            <w:r w:rsidR="00DD3FB1">
              <w:rPr>
                <w:color w:val="000000"/>
                <w:szCs w:val="18"/>
                <w:lang w:eastAsia="en-US" w:bidi="en-US"/>
              </w:rPr>
              <w:t>a</w:t>
            </w:r>
            <w:r w:rsidR="00DD3FB1">
              <w:rPr>
                <w:color w:val="000000"/>
                <w:lang w:eastAsia="en-US" w:bidi="en-US"/>
              </w:rPr>
              <w:t>lienated</w:t>
            </w:r>
            <w:r w:rsidRPr="00124000">
              <w:rPr>
                <w:color w:val="000000"/>
                <w:szCs w:val="18"/>
                <w:lang w:eastAsia="en-US" w:bidi="en-US"/>
              </w:rPr>
              <w:t xml:space="preserve"> </w:t>
            </w:r>
            <w:r w:rsidR="000F1A0B">
              <w:rPr>
                <w:color w:val="000000"/>
                <w:szCs w:val="18"/>
                <w:lang w:eastAsia="en-US" w:bidi="en-US"/>
              </w:rPr>
              <w:t xml:space="preserve">and </w:t>
            </w:r>
            <w:r w:rsidR="00D832A9">
              <w:rPr>
                <w:color w:val="000000"/>
                <w:szCs w:val="18"/>
                <w:lang w:eastAsia="en-US" w:bidi="en-US"/>
              </w:rPr>
              <w:t>m</w:t>
            </w:r>
            <w:r w:rsidR="00D832A9">
              <w:rPr>
                <w:color w:val="000000"/>
                <w:lang w:eastAsia="en-US" w:bidi="en-US"/>
              </w:rPr>
              <w:t>ay not</w:t>
            </w:r>
            <w:r w:rsidR="000F1A0B">
              <w:rPr>
                <w:color w:val="000000"/>
                <w:szCs w:val="18"/>
                <w:lang w:eastAsia="en-US" w:bidi="en-US"/>
              </w:rPr>
              <w:t xml:space="preserve"> be inherited.</w:t>
            </w:r>
          </w:p>
        </w:tc>
      </w:tr>
      <w:tr w:rsidR="004F2753" w:rsidRPr="00926049" w14:paraId="33EFC0B1" w14:textId="77777777" w:rsidTr="008B5E1E">
        <w:trPr>
          <w:trHeight w:val="80"/>
          <w:jc w:val="center"/>
        </w:trPr>
        <w:tc>
          <w:tcPr>
            <w:tcW w:w="5145" w:type="dxa"/>
          </w:tcPr>
          <w:p w14:paraId="437657E4" w14:textId="41088603" w:rsidR="004F2753" w:rsidRPr="00926049" w:rsidRDefault="005866DA" w:rsidP="00C33718">
            <w:pPr>
              <w:numPr>
                <w:ilvl w:val="1"/>
                <w:numId w:val="1"/>
              </w:numPr>
              <w:autoSpaceDE w:val="0"/>
              <w:autoSpaceDN w:val="0"/>
              <w:adjustRightInd w:val="0"/>
              <w:snapToGrid w:val="0"/>
              <w:spacing w:before="60"/>
              <w:jc w:val="both"/>
              <w:rPr>
                <w:rFonts w:eastAsia="Times New Roman" w:cs="Times New Roman"/>
                <w:bCs/>
                <w:szCs w:val="18"/>
                <w:lang w:val="lv-LV" w:eastAsia="lv-LV" w:bidi="lv-LV"/>
              </w:rPr>
            </w:pPr>
            <w:r w:rsidRPr="00926049">
              <w:rPr>
                <w:color w:val="000000"/>
                <w:szCs w:val="18"/>
                <w:lang w:val="lv-LV" w:eastAsia="lv-LV" w:bidi="lv-LV"/>
              </w:rPr>
              <w:t>Personāla opcijas Opciju turētājiem tiek piešķirtas bez maksas</w:t>
            </w:r>
            <w:r w:rsidR="00CA0CEE">
              <w:rPr>
                <w:color w:val="000000"/>
                <w:szCs w:val="18"/>
                <w:lang w:val="lv-LV" w:eastAsia="lv-LV" w:bidi="lv-LV"/>
              </w:rPr>
              <w:t>.</w:t>
            </w:r>
          </w:p>
        </w:tc>
        <w:tc>
          <w:tcPr>
            <w:tcW w:w="5061" w:type="dxa"/>
          </w:tcPr>
          <w:p w14:paraId="2E1698C6" w14:textId="49A3583C" w:rsidR="004F2753" w:rsidRPr="00124000" w:rsidRDefault="006D5BD7" w:rsidP="00C33718">
            <w:pPr>
              <w:numPr>
                <w:ilvl w:val="1"/>
                <w:numId w:val="2"/>
              </w:numPr>
              <w:autoSpaceDE w:val="0"/>
              <w:autoSpaceDN w:val="0"/>
              <w:adjustRightInd w:val="0"/>
              <w:snapToGrid w:val="0"/>
              <w:spacing w:before="60"/>
              <w:ind w:left="704"/>
              <w:jc w:val="both"/>
              <w:rPr>
                <w:color w:val="000000"/>
                <w:szCs w:val="18"/>
                <w:lang w:eastAsia="en-US" w:bidi="en-US"/>
              </w:rPr>
            </w:pPr>
            <w:r w:rsidRPr="00124000">
              <w:rPr>
                <w:color w:val="000000"/>
                <w:szCs w:val="18"/>
                <w:lang w:eastAsia="en-US" w:bidi="en-US"/>
              </w:rPr>
              <w:t xml:space="preserve">The </w:t>
            </w:r>
            <w:r w:rsidR="00CA0CEE">
              <w:rPr>
                <w:color w:val="000000"/>
                <w:szCs w:val="18"/>
                <w:lang w:eastAsia="en-US" w:bidi="en-US"/>
              </w:rPr>
              <w:t xml:space="preserve">share </w:t>
            </w:r>
            <w:r w:rsidRPr="00124000">
              <w:rPr>
                <w:color w:val="000000"/>
                <w:szCs w:val="18"/>
                <w:lang w:eastAsia="en-US" w:bidi="en-US"/>
              </w:rPr>
              <w:t>options are granted to the Option Holders free of charge.</w:t>
            </w:r>
          </w:p>
        </w:tc>
      </w:tr>
      <w:tr w:rsidR="005866DA" w:rsidRPr="00926049" w14:paraId="67294BFB" w14:textId="77777777" w:rsidTr="008B5E1E">
        <w:trPr>
          <w:trHeight w:val="80"/>
          <w:jc w:val="center"/>
        </w:trPr>
        <w:tc>
          <w:tcPr>
            <w:tcW w:w="5145" w:type="dxa"/>
          </w:tcPr>
          <w:p w14:paraId="1CB08916" w14:textId="505961A6" w:rsidR="005866DA" w:rsidRPr="00926049" w:rsidRDefault="00190C85" w:rsidP="00AF3B68">
            <w:pPr>
              <w:numPr>
                <w:ilvl w:val="0"/>
                <w:numId w:val="1"/>
              </w:numPr>
              <w:autoSpaceDE w:val="0"/>
              <w:autoSpaceDN w:val="0"/>
              <w:adjustRightInd w:val="0"/>
              <w:snapToGrid w:val="0"/>
              <w:spacing w:before="120" w:after="120"/>
              <w:ind w:left="457" w:hanging="357"/>
              <w:jc w:val="both"/>
              <w:rPr>
                <w:caps/>
                <w:szCs w:val="18"/>
                <w:lang w:val="lv-LV" w:eastAsia="en-US"/>
              </w:rPr>
            </w:pPr>
            <w:r w:rsidRPr="00926049">
              <w:rPr>
                <w:b/>
                <w:bCs/>
                <w:caps/>
                <w:color w:val="000000"/>
                <w:szCs w:val="18"/>
                <w:lang w:val="lv-LV" w:eastAsia="lv-LV" w:bidi="lv-LV"/>
              </w:rPr>
              <w:t xml:space="preserve">Katras personāla opcijas izlietošanas rezultātā iegūstamo </w:t>
            </w:r>
            <w:r w:rsidRPr="00926049">
              <w:rPr>
                <w:rFonts w:eastAsia="Times New Roman" w:cs="Times New Roman"/>
                <w:b/>
                <w:caps/>
                <w:szCs w:val="18"/>
                <w:lang w:val="lv-LV" w:eastAsia="lv-LV"/>
              </w:rPr>
              <w:t>akciju</w:t>
            </w:r>
            <w:r w:rsidRPr="00926049">
              <w:rPr>
                <w:b/>
                <w:bCs/>
                <w:caps/>
                <w:color w:val="000000"/>
                <w:szCs w:val="18"/>
                <w:lang w:val="lv-LV" w:eastAsia="lv-LV" w:bidi="lv-LV"/>
              </w:rPr>
              <w:t xml:space="preserve"> skaits un vienas akcijas cena</w:t>
            </w:r>
          </w:p>
        </w:tc>
        <w:tc>
          <w:tcPr>
            <w:tcW w:w="5061" w:type="dxa"/>
          </w:tcPr>
          <w:p w14:paraId="3B87E357" w14:textId="6F279DBB" w:rsidR="005866DA" w:rsidRPr="00124000" w:rsidRDefault="008469AF" w:rsidP="00AF3B68">
            <w:pPr>
              <w:numPr>
                <w:ilvl w:val="0"/>
                <w:numId w:val="2"/>
              </w:numPr>
              <w:autoSpaceDE w:val="0"/>
              <w:autoSpaceDN w:val="0"/>
              <w:adjustRightInd w:val="0"/>
              <w:snapToGrid w:val="0"/>
              <w:spacing w:before="120" w:after="120"/>
              <w:ind w:left="566" w:hanging="357"/>
              <w:jc w:val="both"/>
              <w:rPr>
                <w:b/>
                <w:caps/>
                <w:szCs w:val="18"/>
              </w:rPr>
            </w:pPr>
            <w:r w:rsidRPr="00124000">
              <w:rPr>
                <w:rFonts w:eastAsia="Times New Roman" w:cs="Times New Roman"/>
                <w:b/>
                <w:caps/>
                <w:szCs w:val="18"/>
                <w:lang w:eastAsia="lv-LV"/>
              </w:rPr>
              <w:t xml:space="preserve">Number of shares to be acquired as the result of exercising </w:t>
            </w:r>
            <w:r w:rsidR="003B6623">
              <w:rPr>
                <w:rFonts w:eastAsia="Times New Roman" w:cs="Times New Roman"/>
                <w:b/>
                <w:caps/>
                <w:szCs w:val="18"/>
                <w:lang w:eastAsia="lv-LV"/>
              </w:rPr>
              <w:t>SHARE</w:t>
            </w:r>
            <w:r w:rsidRPr="00124000">
              <w:rPr>
                <w:rFonts w:eastAsia="Times New Roman" w:cs="Times New Roman"/>
                <w:b/>
                <w:caps/>
                <w:szCs w:val="18"/>
                <w:lang w:eastAsia="lv-LV"/>
              </w:rPr>
              <w:t xml:space="preserve"> option and price per share</w:t>
            </w:r>
          </w:p>
        </w:tc>
      </w:tr>
      <w:tr w:rsidR="005866DA" w:rsidRPr="00926049" w14:paraId="101298B2" w14:textId="77777777" w:rsidTr="008B5E1E">
        <w:trPr>
          <w:trHeight w:val="80"/>
          <w:jc w:val="center"/>
        </w:trPr>
        <w:tc>
          <w:tcPr>
            <w:tcW w:w="5145" w:type="dxa"/>
          </w:tcPr>
          <w:p w14:paraId="3654D20C" w14:textId="1C3C14F4" w:rsidR="005866DA" w:rsidRPr="00926049" w:rsidRDefault="00190C85"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color w:val="000000"/>
                <w:szCs w:val="18"/>
                <w:lang w:val="lv-LV" w:eastAsia="lv-LV" w:bidi="lv-LV"/>
              </w:rPr>
              <w:t>Katra Opciju turētājam piešķirtā personāla opcija dod tiesības iegūt vienu Sabiedrības akciju ar katras akcijas nominālvērtību 0.10 EUR</w:t>
            </w:r>
            <w:r w:rsidR="00647C7C" w:rsidRPr="00926049">
              <w:rPr>
                <w:color w:val="000000"/>
                <w:szCs w:val="18"/>
                <w:lang w:val="lv-LV" w:eastAsia="lv-LV" w:bidi="lv-LV"/>
              </w:rPr>
              <w:t xml:space="preserve"> (desmit </w:t>
            </w:r>
            <w:r w:rsidR="00647C7C" w:rsidRPr="00926049">
              <w:rPr>
                <w:i/>
                <w:iCs/>
                <w:color w:val="000000"/>
                <w:szCs w:val="18"/>
                <w:lang w:val="lv-LV" w:eastAsia="lv-LV" w:bidi="lv-LV"/>
              </w:rPr>
              <w:t xml:space="preserve">eiro </w:t>
            </w:r>
            <w:r w:rsidR="00647C7C" w:rsidRPr="00926049">
              <w:rPr>
                <w:color w:val="000000"/>
                <w:szCs w:val="18"/>
                <w:lang w:val="lv-LV" w:eastAsia="lv-LV" w:bidi="lv-LV"/>
              </w:rPr>
              <w:t>centi)</w:t>
            </w:r>
            <w:r w:rsidRPr="00926049">
              <w:rPr>
                <w:color w:val="000000"/>
                <w:szCs w:val="18"/>
                <w:lang w:val="lv-LV" w:eastAsia="lv-LV" w:bidi="lv-LV"/>
              </w:rPr>
              <w:t>.</w:t>
            </w:r>
          </w:p>
        </w:tc>
        <w:tc>
          <w:tcPr>
            <w:tcW w:w="5061" w:type="dxa"/>
          </w:tcPr>
          <w:p w14:paraId="6F0AE57B" w14:textId="23AC7038" w:rsidR="005866DA" w:rsidRPr="00124000" w:rsidRDefault="00B63822" w:rsidP="00C33718">
            <w:pPr>
              <w:numPr>
                <w:ilvl w:val="1"/>
                <w:numId w:val="2"/>
              </w:numPr>
              <w:autoSpaceDE w:val="0"/>
              <w:autoSpaceDN w:val="0"/>
              <w:adjustRightInd w:val="0"/>
              <w:snapToGrid w:val="0"/>
              <w:spacing w:before="60"/>
              <w:ind w:left="704"/>
              <w:jc w:val="both"/>
              <w:rPr>
                <w:b/>
                <w:szCs w:val="18"/>
              </w:rPr>
            </w:pPr>
            <w:r w:rsidRPr="00124000">
              <w:rPr>
                <w:color w:val="000000"/>
                <w:szCs w:val="18"/>
                <w:lang w:eastAsia="en-US" w:bidi="en-US"/>
              </w:rPr>
              <w:t xml:space="preserve">Each </w:t>
            </w:r>
            <w:r w:rsidR="005978A4">
              <w:rPr>
                <w:color w:val="000000"/>
                <w:szCs w:val="18"/>
                <w:lang w:eastAsia="en-US" w:bidi="en-US"/>
              </w:rPr>
              <w:t xml:space="preserve">share </w:t>
            </w:r>
            <w:r w:rsidRPr="00124000">
              <w:rPr>
                <w:color w:val="000000"/>
                <w:szCs w:val="18"/>
                <w:lang w:eastAsia="en-US" w:bidi="en-US"/>
              </w:rPr>
              <w:t>option granted to the Option Holder gives the right to acquire one share of the Company with the nominal value of each share of EUR 0.10</w:t>
            </w:r>
            <w:r w:rsidR="00F6575B">
              <w:rPr>
                <w:color w:val="000000"/>
                <w:szCs w:val="18"/>
                <w:lang w:eastAsia="en-US" w:bidi="en-US"/>
              </w:rPr>
              <w:t xml:space="preserve"> (</w:t>
            </w:r>
            <w:proofErr w:type="gramStart"/>
            <w:r w:rsidR="00F6575B">
              <w:rPr>
                <w:color w:val="000000"/>
                <w:szCs w:val="18"/>
                <w:lang w:eastAsia="en-US" w:bidi="en-US"/>
              </w:rPr>
              <w:t>ten euro</w:t>
            </w:r>
            <w:proofErr w:type="gramEnd"/>
            <w:r w:rsidR="00F6575B">
              <w:rPr>
                <w:color w:val="000000"/>
                <w:szCs w:val="18"/>
                <w:lang w:eastAsia="en-US" w:bidi="en-US"/>
              </w:rPr>
              <w:t xml:space="preserve"> cents)</w:t>
            </w:r>
            <w:r w:rsidRPr="00124000">
              <w:rPr>
                <w:color w:val="000000"/>
                <w:szCs w:val="18"/>
                <w:lang w:eastAsia="en-US" w:bidi="en-US"/>
              </w:rPr>
              <w:t>.</w:t>
            </w:r>
          </w:p>
        </w:tc>
      </w:tr>
      <w:tr w:rsidR="005866DA" w:rsidRPr="00926049" w14:paraId="51350975" w14:textId="77777777" w:rsidTr="008B5E1E">
        <w:trPr>
          <w:trHeight w:val="80"/>
          <w:jc w:val="center"/>
        </w:trPr>
        <w:tc>
          <w:tcPr>
            <w:tcW w:w="5145" w:type="dxa"/>
          </w:tcPr>
          <w:p w14:paraId="3478A5A1" w14:textId="4B102F8A" w:rsidR="005866DA" w:rsidRPr="00926049" w:rsidRDefault="00A340BC"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rFonts w:eastAsia="Calibri"/>
                <w:szCs w:val="18"/>
                <w:lang w:val="lv-LV"/>
              </w:rPr>
              <w:t>Opciju turētāji, izlietojot savas personāla opcijas, ir tiesīgi iegūt Sabiedrības jaunās emisijas akcijas bez maksas</w:t>
            </w:r>
            <w:r w:rsidR="005978A4">
              <w:rPr>
                <w:szCs w:val="18"/>
                <w:lang w:val="lv-LV"/>
              </w:rPr>
              <w:t>.</w:t>
            </w:r>
          </w:p>
        </w:tc>
        <w:tc>
          <w:tcPr>
            <w:tcW w:w="5061" w:type="dxa"/>
          </w:tcPr>
          <w:p w14:paraId="1376D779" w14:textId="313FA3D8" w:rsidR="005866DA" w:rsidRPr="00124000" w:rsidRDefault="00B63822" w:rsidP="00C33718">
            <w:pPr>
              <w:numPr>
                <w:ilvl w:val="1"/>
                <w:numId w:val="2"/>
              </w:numPr>
              <w:autoSpaceDE w:val="0"/>
              <w:autoSpaceDN w:val="0"/>
              <w:adjustRightInd w:val="0"/>
              <w:snapToGrid w:val="0"/>
              <w:spacing w:before="60"/>
              <w:ind w:left="704"/>
              <w:jc w:val="both"/>
              <w:rPr>
                <w:b/>
                <w:szCs w:val="18"/>
              </w:rPr>
            </w:pPr>
            <w:r w:rsidRPr="00124000">
              <w:rPr>
                <w:color w:val="000000"/>
                <w:szCs w:val="18"/>
                <w:lang w:eastAsia="en-US" w:bidi="en-US"/>
              </w:rPr>
              <w:t xml:space="preserve">Upon exercising </w:t>
            </w:r>
            <w:r w:rsidR="002B7A7E">
              <w:rPr>
                <w:color w:val="000000"/>
                <w:szCs w:val="18"/>
                <w:lang w:eastAsia="en-US" w:bidi="en-US"/>
              </w:rPr>
              <w:t>share</w:t>
            </w:r>
            <w:r w:rsidRPr="00124000">
              <w:rPr>
                <w:color w:val="000000"/>
                <w:szCs w:val="18"/>
                <w:lang w:eastAsia="en-US" w:bidi="en-US"/>
              </w:rPr>
              <w:t xml:space="preserve"> options</w:t>
            </w:r>
            <w:r w:rsidR="0079194C">
              <w:rPr>
                <w:color w:val="000000"/>
                <w:szCs w:val="18"/>
                <w:lang w:eastAsia="en-US" w:bidi="en-US"/>
              </w:rPr>
              <w:t>,</w:t>
            </w:r>
            <w:r w:rsidRPr="00124000">
              <w:rPr>
                <w:color w:val="000000"/>
                <w:szCs w:val="18"/>
                <w:lang w:eastAsia="en-US" w:bidi="en-US"/>
              </w:rPr>
              <w:t xml:space="preserve"> the Option Holder will be able to acquire the sha</w:t>
            </w:r>
            <w:r w:rsidR="002B7A7E">
              <w:rPr>
                <w:color w:val="000000"/>
                <w:szCs w:val="18"/>
                <w:lang w:eastAsia="en-US" w:bidi="en-US"/>
              </w:rPr>
              <w:t>re</w:t>
            </w:r>
            <w:r w:rsidRPr="00124000">
              <w:rPr>
                <w:color w:val="000000"/>
                <w:szCs w:val="18"/>
                <w:lang w:eastAsia="en-US" w:bidi="en-US"/>
              </w:rPr>
              <w:t>s of the Company free of charge.</w:t>
            </w:r>
          </w:p>
        </w:tc>
      </w:tr>
      <w:tr w:rsidR="00F271F9" w:rsidRPr="00926049" w14:paraId="1E4ED70D" w14:textId="77777777" w:rsidTr="008B5E1E">
        <w:trPr>
          <w:trHeight w:val="80"/>
          <w:jc w:val="center"/>
        </w:trPr>
        <w:tc>
          <w:tcPr>
            <w:tcW w:w="5145" w:type="dxa"/>
          </w:tcPr>
          <w:p w14:paraId="2D23D44D" w14:textId="0A7F7059" w:rsidR="00F271F9" w:rsidRPr="00926049" w:rsidRDefault="00F271F9" w:rsidP="00AF3B68">
            <w:pPr>
              <w:numPr>
                <w:ilvl w:val="0"/>
                <w:numId w:val="1"/>
              </w:numPr>
              <w:autoSpaceDE w:val="0"/>
              <w:autoSpaceDN w:val="0"/>
              <w:adjustRightInd w:val="0"/>
              <w:snapToGrid w:val="0"/>
              <w:spacing w:before="120" w:after="120"/>
              <w:ind w:left="457" w:hanging="357"/>
              <w:jc w:val="both"/>
              <w:rPr>
                <w:b/>
                <w:bCs/>
                <w:caps/>
                <w:color w:val="000000"/>
                <w:szCs w:val="18"/>
                <w:lang w:val="lv-LV" w:eastAsia="lv-LV" w:bidi="lv-LV"/>
              </w:rPr>
            </w:pPr>
            <w:bookmarkStart w:id="10" w:name="bookmark24"/>
            <w:bookmarkStart w:id="11" w:name="bookmark25"/>
            <w:r w:rsidRPr="00926049">
              <w:rPr>
                <w:b/>
                <w:bCs/>
                <w:caps/>
                <w:color w:val="000000"/>
                <w:szCs w:val="18"/>
                <w:lang w:val="lv-LV" w:eastAsia="lv-LV" w:bidi="lv-LV"/>
              </w:rPr>
              <w:t>Personāla opciju izlietošanas kārtība un termi</w:t>
            </w:r>
            <w:bookmarkEnd w:id="10"/>
            <w:bookmarkEnd w:id="11"/>
            <w:r w:rsidRPr="00926049">
              <w:rPr>
                <w:b/>
                <w:bCs/>
                <w:caps/>
                <w:color w:val="000000"/>
                <w:szCs w:val="18"/>
                <w:lang w:val="lv-LV" w:eastAsia="lv-LV" w:bidi="lv-LV"/>
              </w:rPr>
              <w:t>ņi</w:t>
            </w:r>
          </w:p>
        </w:tc>
        <w:tc>
          <w:tcPr>
            <w:tcW w:w="5061" w:type="dxa"/>
          </w:tcPr>
          <w:p w14:paraId="52944CB0" w14:textId="77BBB324" w:rsidR="00F271F9" w:rsidRPr="00124000" w:rsidRDefault="0066353D" w:rsidP="00AF3B68">
            <w:pPr>
              <w:numPr>
                <w:ilvl w:val="0"/>
                <w:numId w:val="2"/>
              </w:numPr>
              <w:autoSpaceDE w:val="0"/>
              <w:autoSpaceDN w:val="0"/>
              <w:adjustRightInd w:val="0"/>
              <w:snapToGrid w:val="0"/>
              <w:spacing w:before="120" w:after="120"/>
              <w:ind w:left="566" w:hanging="357"/>
              <w:jc w:val="both"/>
              <w:rPr>
                <w:rFonts w:eastAsia="Times New Roman" w:cs="Times New Roman"/>
                <w:b/>
                <w:caps/>
                <w:szCs w:val="18"/>
                <w:lang w:eastAsia="lv-LV"/>
              </w:rPr>
            </w:pPr>
            <w:bookmarkStart w:id="12" w:name="bookmark26"/>
            <w:bookmarkStart w:id="13" w:name="bookmark27"/>
            <w:r w:rsidRPr="00124000">
              <w:rPr>
                <w:rFonts w:eastAsia="Times New Roman" w:cs="Times New Roman"/>
                <w:b/>
                <w:caps/>
                <w:szCs w:val="18"/>
                <w:lang w:eastAsia="lv-LV"/>
              </w:rPr>
              <w:t>Procedure and deadlines for exercising personnel options</w:t>
            </w:r>
            <w:bookmarkEnd w:id="12"/>
            <w:bookmarkEnd w:id="13"/>
          </w:p>
        </w:tc>
      </w:tr>
      <w:tr w:rsidR="00F271F9" w:rsidRPr="00926049" w14:paraId="527C8813" w14:textId="77777777" w:rsidTr="008B5E1E">
        <w:trPr>
          <w:trHeight w:val="80"/>
          <w:jc w:val="center"/>
        </w:trPr>
        <w:tc>
          <w:tcPr>
            <w:tcW w:w="5145" w:type="dxa"/>
          </w:tcPr>
          <w:p w14:paraId="57C2D1D6" w14:textId="6FAD86EE" w:rsidR="00F271F9" w:rsidRPr="00926049" w:rsidRDefault="00F271F9"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color w:val="000000"/>
                <w:szCs w:val="18"/>
                <w:lang w:val="lv-LV" w:eastAsia="lv-LV" w:bidi="lv-LV"/>
              </w:rPr>
              <w:t xml:space="preserve">Pēc tam, kad ir beidzies Turēšanas periods un ir iestājušies Pamatkapitāla palielināšanas ar nosacījumu noteikumos paredzētie nosacījumi, Opciju turētājs ir tiesīgs iegūt Sabiedrības akcijas, iesniedzot par to pieteikumu Sabiedrībai (turpmāk - </w:t>
            </w:r>
            <w:r w:rsidRPr="00926049">
              <w:rPr>
                <w:b/>
                <w:bCs/>
                <w:color w:val="000000"/>
                <w:szCs w:val="18"/>
                <w:lang w:val="lv-LV" w:eastAsia="lv-LV" w:bidi="lv-LV"/>
              </w:rPr>
              <w:t>Pieteikums akciju iegūšanai</w:t>
            </w:r>
            <w:r w:rsidRPr="00802583">
              <w:rPr>
                <w:color w:val="000000"/>
                <w:szCs w:val="18"/>
                <w:lang w:val="lv-LV" w:eastAsia="lv-LV" w:bidi="lv-LV"/>
              </w:rPr>
              <w:t>).</w:t>
            </w:r>
          </w:p>
        </w:tc>
        <w:tc>
          <w:tcPr>
            <w:tcW w:w="5061" w:type="dxa"/>
          </w:tcPr>
          <w:p w14:paraId="67F8E52B" w14:textId="0F6FF48C" w:rsidR="00F271F9" w:rsidRPr="00124000" w:rsidRDefault="0066353D" w:rsidP="00C33718">
            <w:pPr>
              <w:numPr>
                <w:ilvl w:val="1"/>
                <w:numId w:val="2"/>
              </w:numPr>
              <w:autoSpaceDE w:val="0"/>
              <w:autoSpaceDN w:val="0"/>
              <w:adjustRightInd w:val="0"/>
              <w:snapToGrid w:val="0"/>
              <w:spacing w:before="60"/>
              <w:ind w:left="704" w:hanging="704"/>
              <w:jc w:val="both"/>
              <w:rPr>
                <w:b/>
                <w:szCs w:val="18"/>
              </w:rPr>
            </w:pPr>
            <w:r w:rsidRPr="00124000">
              <w:rPr>
                <w:color w:val="000000"/>
                <w:szCs w:val="18"/>
                <w:lang w:eastAsia="en-US" w:bidi="en-US"/>
              </w:rPr>
              <w:t xml:space="preserve">After the expiry of the Holding Period and after the conditions prescribed in the Terms for Conditional Increase of the Share Capital have set in, the Option Holder shall be entitled to acquire the shares of the Company by filing an application to the Company (hereinafter </w:t>
            </w:r>
            <w:r w:rsidR="007F0283">
              <w:rPr>
                <w:color w:val="000000"/>
                <w:szCs w:val="18"/>
                <w:lang w:eastAsia="en-US" w:bidi="en-US"/>
              </w:rPr>
              <w:t>-</w:t>
            </w:r>
            <w:r w:rsidRPr="00124000">
              <w:rPr>
                <w:color w:val="000000"/>
                <w:szCs w:val="18"/>
                <w:lang w:eastAsia="en-US" w:bidi="en-US"/>
              </w:rPr>
              <w:t xml:space="preserve"> </w:t>
            </w:r>
            <w:r w:rsidRPr="00124000">
              <w:rPr>
                <w:b/>
                <w:bCs/>
                <w:color w:val="000000"/>
                <w:szCs w:val="18"/>
                <w:lang w:eastAsia="en-US" w:bidi="en-US"/>
              </w:rPr>
              <w:t>Application for Acquisition of Shares</w:t>
            </w:r>
            <w:r w:rsidRPr="007F0283">
              <w:rPr>
                <w:color w:val="000000"/>
                <w:szCs w:val="18"/>
                <w:lang w:eastAsia="en-US" w:bidi="en-US"/>
              </w:rPr>
              <w:t>).</w:t>
            </w:r>
          </w:p>
        </w:tc>
      </w:tr>
      <w:tr w:rsidR="00F271F9" w:rsidRPr="00926049" w14:paraId="7FFB5B4D" w14:textId="77777777" w:rsidTr="008B5E1E">
        <w:trPr>
          <w:trHeight w:val="80"/>
          <w:jc w:val="center"/>
        </w:trPr>
        <w:tc>
          <w:tcPr>
            <w:tcW w:w="5145" w:type="dxa"/>
          </w:tcPr>
          <w:p w14:paraId="4BC2346F" w14:textId="1F206692" w:rsidR="00F271F9" w:rsidRPr="00926049" w:rsidRDefault="00F271F9"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color w:val="000000"/>
                <w:szCs w:val="18"/>
                <w:lang w:val="lv-LV" w:eastAsia="lv-LV" w:bidi="lv-LV"/>
              </w:rPr>
              <w:t>Opciju turētājs ir tiesīgs izlietot tam piešķirto personāla opciju 30 (trīsdesmit) dienu laikā</w:t>
            </w:r>
            <w:r w:rsidR="00086538" w:rsidRPr="00926049">
              <w:rPr>
                <w:color w:val="000000"/>
                <w:szCs w:val="18"/>
                <w:lang w:val="lv-LV" w:eastAsia="lv-LV" w:bidi="lv-LV"/>
              </w:rPr>
              <w:t>, sākot ar nākamo dienu</w:t>
            </w:r>
            <w:r w:rsidRPr="00926049">
              <w:rPr>
                <w:color w:val="000000"/>
                <w:szCs w:val="18"/>
                <w:lang w:val="lv-LV" w:eastAsia="lv-LV" w:bidi="lv-LV"/>
              </w:rPr>
              <w:t>, kad beidzas Turēšanas</w:t>
            </w:r>
            <w:r w:rsidR="00A50B7D" w:rsidRPr="00926049">
              <w:rPr>
                <w:color w:val="000000"/>
                <w:szCs w:val="18"/>
                <w:lang w:val="lv-LV" w:eastAsia="lv-LV" w:bidi="lv-LV"/>
              </w:rPr>
              <w:t xml:space="preserve"> periods.</w:t>
            </w:r>
          </w:p>
        </w:tc>
        <w:tc>
          <w:tcPr>
            <w:tcW w:w="5061" w:type="dxa"/>
          </w:tcPr>
          <w:p w14:paraId="746273A4" w14:textId="4EC75200" w:rsidR="00F271F9" w:rsidRPr="00124000" w:rsidRDefault="0066353D" w:rsidP="00C33718">
            <w:pPr>
              <w:numPr>
                <w:ilvl w:val="1"/>
                <w:numId w:val="2"/>
              </w:numPr>
              <w:autoSpaceDE w:val="0"/>
              <w:autoSpaceDN w:val="0"/>
              <w:adjustRightInd w:val="0"/>
              <w:snapToGrid w:val="0"/>
              <w:spacing w:before="60"/>
              <w:ind w:left="704" w:hanging="704"/>
              <w:jc w:val="both"/>
              <w:rPr>
                <w:b/>
                <w:szCs w:val="18"/>
              </w:rPr>
            </w:pPr>
            <w:r w:rsidRPr="00124000">
              <w:rPr>
                <w:color w:val="000000"/>
                <w:szCs w:val="18"/>
                <w:lang w:eastAsia="en-US" w:bidi="en-US"/>
              </w:rPr>
              <w:t xml:space="preserve">The Option Holder shall be entitled to exercise the </w:t>
            </w:r>
            <w:r w:rsidR="0079194C">
              <w:rPr>
                <w:color w:val="000000"/>
                <w:szCs w:val="18"/>
                <w:lang w:eastAsia="en-US" w:bidi="en-US"/>
              </w:rPr>
              <w:t>share</w:t>
            </w:r>
            <w:r w:rsidRPr="00124000">
              <w:rPr>
                <w:color w:val="000000"/>
                <w:szCs w:val="18"/>
                <w:lang w:eastAsia="en-US" w:bidi="en-US"/>
              </w:rPr>
              <w:t xml:space="preserve"> option granted to him/her within 30 (thirty) days as from the next day after the expiry of the Holding Period (hereinafter </w:t>
            </w:r>
            <w:r w:rsidR="007F0283">
              <w:rPr>
                <w:color w:val="000000"/>
                <w:szCs w:val="18"/>
                <w:lang w:eastAsia="en-US" w:bidi="en-US"/>
              </w:rPr>
              <w:t>-</w:t>
            </w:r>
            <w:r w:rsidRPr="00124000">
              <w:rPr>
                <w:color w:val="000000"/>
                <w:szCs w:val="18"/>
                <w:lang w:eastAsia="en-US" w:bidi="en-US"/>
              </w:rPr>
              <w:t xml:space="preserve"> </w:t>
            </w:r>
            <w:r w:rsidRPr="00124000">
              <w:rPr>
                <w:b/>
                <w:bCs/>
                <w:color w:val="000000"/>
                <w:szCs w:val="18"/>
                <w:lang w:eastAsia="en-US" w:bidi="en-US"/>
              </w:rPr>
              <w:t>Exercising Period</w:t>
            </w:r>
            <w:r w:rsidRPr="00124000">
              <w:rPr>
                <w:color w:val="000000"/>
                <w:szCs w:val="18"/>
                <w:lang w:eastAsia="en-US" w:bidi="en-US"/>
              </w:rPr>
              <w:t>)</w:t>
            </w:r>
            <w:r w:rsidR="00941A58" w:rsidRPr="00124000">
              <w:rPr>
                <w:color w:val="000000"/>
                <w:szCs w:val="18"/>
                <w:lang w:eastAsia="en-US" w:bidi="en-US"/>
              </w:rPr>
              <w:t>.</w:t>
            </w:r>
          </w:p>
        </w:tc>
      </w:tr>
      <w:tr w:rsidR="00F271F9" w:rsidRPr="00926049" w14:paraId="5B802694" w14:textId="77777777" w:rsidTr="008B5E1E">
        <w:trPr>
          <w:trHeight w:val="80"/>
          <w:jc w:val="center"/>
        </w:trPr>
        <w:tc>
          <w:tcPr>
            <w:tcW w:w="5145" w:type="dxa"/>
          </w:tcPr>
          <w:p w14:paraId="68EA9B92" w14:textId="343EC4BB" w:rsidR="00F271F9" w:rsidRPr="00926049" w:rsidRDefault="00F271F9"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color w:val="000000"/>
                <w:szCs w:val="18"/>
                <w:lang w:val="lv-LV" w:eastAsia="lv-LV" w:bidi="lv-LV"/>
              </w:rPr>
              <w:t>Valde 10 dienu laikā pēc Pieteikuma akciju iegūšanai saņemšanas pieņem lēmumu emitēt nepieciešamo skaitu akciju (palielināt pamatkapitālu).</w:t>
            </w:r>
          </w:p>
        </w:tc>
        <w:tc>
          <w:tcPr>
            <w:tcW w:w="5061" w:type="dxa"/>
          </w:tcPr>
          <w:p w14:paraId="0B5F20F6" w14:textId="21778EBA" w:rsidR="00F271F9" w:rsidRPr="00124000" w:rsidRDefault="0079194C" w:rsidP="00C33718">
            <w:pPr>
              <w:numPr>
                <w:ilvl w:val="1"/>
                <w:numId w:val="2"/>
              </w:numPr>
              <w:autoSpaceDE w:val="0"/>
              <w:autoSpaceDN w:val="0"/>
              <w:adjustRightInd w:val="0"/>
              <w:snapToGrid w:val="0"/>
              <w:spacing w:before="60"/>
              <w:ind w:left="704" w:hanging="704"/>
              <w:jc w:val="both"/>
              <w:rPr>
                <w:b/>
                <w:szCs w:val="18"/>
              </w:rPr>
            </w:pPr>
            <w:r>
              <w:rPr>
                <w:color w:val="000000"/>
                <w:szCs w:val="18"/>
                <w:lang w:eastAsia="en-US" w:bidi="en-US"/>
              </w:rPr>
              <w:t>M</w:t>
            </w:r>
            <w:r w:rsidR="00941A58" w:rsidRPr="00124000">
              <w:rPr>
                <w:color w:val="000000"/>
                <w:szCs w:val="18"/>
                <w:lang w:eastAsia="en-US" w:bidi="en-US"/>
              </w:rPr>
              <w:t>anagement board shall adopt a decision on the issue of the necessary number of shares (increase share capital)</w:t>
            </w:r>
            <w:r>
              <w:rPr>
                <w:color w:val="000000"/>
                <w:szCs w:val="18"/>
                <w:lang w:eastAsia="en-US" w:bidi="en-US"/>
              </w:rPr>
              <w:t xml:space="preserve"> within 10 days after receipt of Application for Acquisition of Shares</w:t>
            </w:r>
            <w:r w:rsidR="00941A58" w:rsidRPr="00124000">
              <w:rPr>
                <w:color w:val="000000"/>
                <w:szCs w:val="18"/>
                <w:lang w:eastAsia="en-US" w:bidi="en-US"/>
              </w:rPr>
              <w:t>.</w:t>
            </w:r>
          </w:p>
        </w:tc>
      </w:tr>
      <w:tr w:rsidR="00F271F9" w:rsidRPr="00926049" w14:paraId="4ED26BD9" w14:textId="77777777" w:rsidTr="008B5E1E">
        <w:trPr>
          <w:trHeight w:val="80"/>
          <w:jc w:val="center"/>
        </w:trPr>
        <w:tc>
          <w:tcPr>
            <w:tcW w:w="5145" w:type="dxa"/>
          </w:tcPr>
          <w:p w14:paraId="7E1AAD34" w14:textId="3EAE9656" w:rsidR="00F271F9" w:rsidRPr="00926049" w:rsidRDefault="00F271F9"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color w:val="000000"/>
                <w:szCs w:val="18"/>
                <w:lang w:val="lv-LV" w:eastAsia="lv-LV" w:bidi="lv-LV"/>
              </w:rPr>
              <w:t>Padome mēneša laikā pēc akciju emisijas lemj par grozījumiem Sabiedrības statūtos, precizējot pamatkapitāla lielumu. Valde sagatavo un paraksta pilnu statūtu tekstu jaunā redakcijā, kā arī iesniedz pieteikumu par pamatkapitāla palielināšanu</w:t>
            </w:r>
            <w:r w:rsidR="00E41665">
              <w:rPr>
                <w:color w:val="000000"/>
                <w:szCs w:val="18"/>
                <w:lang w:val="lv-LV" w:eastAsia="lv-LV" w:bidi="lv-LV"/>
              </w:rPr>
              <w:t xml:space="preserve"> </w:t>
            </w:r>
            <w:r w:rsidR="00E41665" w:rsidRPr="00E73A87">
              <w:rPr>
                <w:bCs/>
                <w:lang w:val="lv-LV" w:eastAsia="lv-LV"/>
              </w:rPr>
              <w:t>Latvijas Republikas Uzņēmumu reģistra vestajā komercreģistrā</w:t>
            </w:r>
            <w:r w:rsidRPr="00926049">
              <w:rPr>
                <w:color w:val="000000"/>
                <w:szCs w:val="18"/>
                <w:lang w:val="lv-LV" w:eastAsia="lv-LV" w:bidi="lv-LV"/>
              </w:rPr>
              <w:t>.</w:t>
            </w:r>
          </w:p>
        </w:tc>
        <w:tc>
          <w:tcPr>
            <w:tcW w:w="5061" w:type="dxa"/>
          </w:tcPr>
          <w:p w14:paraId="6073A01D" w14:textId="6120AC4C" w:rsidR="00F271F9" w:rsidRPr="00124000" w:rsidRDefault="00A369D8" w:rsidP="00C33718">
            <w:pPr>
              <w:numPr>
                <w:ilvl w:val="1"/>
                <w:numId w:val="2"/>
              </w:numPr>
              <w:autoSpaceDE w:val="0"/>
              <w:autoSpaceDN w:val="0"/>
              <w:adjustRightInd w:val="0"/>
              <w:snapToGrid w:val="0"/>
              <w:spacing w:before="60"/>
              <w:ind w:left="704" w:hanging="704"/>
              <w:jc w:val="both"/>
              <w:rPr>
                <w:color w:val="000000"/>
                <w:szCs w:val="18"/>
                <w:lang w:eastAsia="en-US" w:bidi="en-US"/>
              </w:rPr>
            </w:pPr>
            <w:r>
              <w:rPr>
                <w:color w:val="000000"/>
                <w:szCs w:val="18"/>
                <w:lang w:eastAsia="en-US" w:bidi="en-US"/>
              </w:rPr>
              <w:t>S</w:t>
            </w:r>
            <w:r w:rsidR="00941A58" w:rsidRPr="00124000">
              <w:rPr>
                <w:color w:val="000000"/>
                <w:szCs w:val="18"/>
                <w:lang w:eastAsia="en-US" w:bidi="en-US"/>
              </w:rPr>
              <w:t xml:space="preserve">upervisory board shall adopt a decision on the amendments to the articles of association of the Company by adjusting the amount of the </w:t>
            </w:r>
            <w:r>
              <w:rPr>
                <w:color w:val="000000"/>
                <w:szCs w:val="18"/>
                <w:lang w:eastAsia="en-US" w:bidi="en-US"/>
              </w:rPr>
              <w:t>s</w:t>
            </w:r>
            <w:r w:rsidR="00941A58" w:rsidRPr="00124000">
              <w:rPr>
                <w:color w:val="000000"/>
                <w:szCs w:val="18"/>
                <w:lang w:eastAsia="en-US" w:bidi="en-US"/>
              </w:rPr>
              <w:t>hare capital</w:t>
            </w:r>
            <w:r>
              <w:rPr>
                <w:color w:val="000000"/>
                <w:szCs w:val="18"/>
                <w:lang w:eastAsia="en-US" w:bidi="en-US"/>
              </w:rPr>
              <w:t xml:space="preserve"> within one month after share issue</w:t>
            </w:r>
            <w:r w:rsidR="00941A58" w:rsidRPr="00124000">
              <w:rPr>
                <w:color w:val="000000"/>
                <w:szCs w:val="18"/>
                <w:lang w:eastAsia="en-US" w:bidi="en-US"/>
              </w:rPr>
              <w:t xml:space="preserve">. The management board shall draft and sign the full </w:t>
            </w:r>
            <w:r w:rsidR="00E41665">
              <w:rPr>
                <w:color w:val="000000"/>
                <w:szCs w:val="18"/>
                <w:lang w:eastAsia="en-US" w:bidi="en-US"/>
              </w:rPr>
              <w:t>version of</w:t>
            </w:r>
            <w:r w:rsidR="00941A58" w:rsidRPr="00124000">
              <w:rPr>
                <w:color w:val="000000"/>
                <w:szCs w:val="18"/>
                <w:lang w:eastAsia="en-US" w:bidi="en-US"/>
              </w:rPr>
              <w:t xml:space="preserve"> articles of association in new wording, as well as submit to the </w:t>
            </w:r>
            <w:r w:rsidR="004D3FA1" w:rsidRPr="00E73A87">
              <w:rPr>
                <w:rStyle w:val="rynqvb"/>
                <w:lang w:val="en"/>
              </w:rPr>
              <w:t xml:space="preserve">Commercial Register maintained by the </w:t>
            </w:r>
            <w:r w:rsidR="004D3FA1" w:rsidRPr="00E73A87">
              <w:rPr>
                <w:rStyle w:val="rynqvb"/>
                <w:lang w:val="en"/>
              </w:rPr>
              <w:lastRenderedPageBreak/>
              <w:t>Enterprise Register of the Republic of Latvia</w:t>
            </w:r>
            <w:r w:rsidR="004D3FA1" w:rsidRPr="00124000">
              <w:rPr>
                <w:color w:val="000000"/>
                <w:szCs w:val="18"/>
                <w:lang w:eastAsia="en-US" w:bidi="en-US"/>
              </w:rPr>
              <w:t xml:space="preserve"> </w:t>
            </w:r>
            <w:r w:rsidR="00941A58" w:rsidRPr="00124000">
              <w:rPr>
                <w:color w:val="000000"/>
                <w:szCs w:val="18"/>
                <w:lang w:eastAsia="en-US" w:bidi="en-US"/>
              </w:rPr>
              <w:t>an application for increase of the share capital.</w:t>
            </w:r>
          </w:p>
        </w:tc>
      </w:tr>
      <w:tr w:rsidR="00F271F9" w:rsidRPr="00926049" w14:paraId="1805A3B7" w14:textId="77777777" w:rsidTr="008B5E1E">
        <w:trPr>
          <w:trHeight w:val="80"/>
          <w:jc w:val="center"/>
        </w:trPr>
        <w:tc>
          <w:tcPr>
            <w:tcW w:w="5145" w:type="dxa"/>
          </w:tcPr>
          <w:p w14:paraId="0BEE9FB7" w14:textId="09409709" w:rsidR="00F271F9" w:rsidRPr="00926049" w:rsidRDefault="00A50B7D"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rFonts w:eastAsia="Calibri"/>
                <w:szCs w:val="18"/>
                <w:lang w:val="lv-LV"/>
              </w:rPr>
              <w:lastRenderedPageBreak/>
              <w:t>Visas tiesības (tajā skaitā balsstiesības un tiesības saņemt dividendes), kuras pienākas akcionāram (Opciju turētājam) kā Sabiedrības jaunās emisijas akciju ieguvējam, tiek iegūtas ar brīdi, kad (i) pamatkapitāla palielināšana ir reģistrēta Latvijas Republikas Uzņēmumu reģistra komercreģistrā atbilstoši Komerclikuma noteikumiem un (</w:t>
            </w:r>
            <w:proofErr w:type="spellStart"/>
            <w:r w:rsidRPr="00926049">
              <w:rPr>
                <w:rFonts w:eastAsia="Calibri"/>
                <w:szCs w:val="18"/>
                <w:lang w:val="lv-LV"/>
              </w:rPr>
              <w:t>ii</w:t>
            </w:r>
            <w:proofErr w:type="spellEnd"/>
            <w:r w:rsidRPr="00926049">
              <w:rPr>
                <w:rFonts w:eastAsia="Calibri"/>
                <w:szCs w:val="18"/>
                <w:lang w:val="lv-LV"/>
              </w:rPr>
              <w:t>) kad jaunās emisijas akcijas ir iegrāmatotas Opciju turētāja finanšu instrumentu kontā saskaņā ar Finanšu instrumentu tirgus likuma noteikumiem.</w:t>
            </w:r>
          </w:p>
        </w:tc>
        <w:tc>
          <w:tcPr>
            <w:tcW w:w="5061" w:type="dxa"/>
          </w:tcPr>
          <w:p w14:paraId="5C71E25B" w14:textId="7AAE01BA" w:rsidR="00F271F9" w:rsidRPr="00124000" w:rsidRDefault="00C10D8F" w:rsidP="00C33718">
            <w:pPr>
              <w:numPr>
                <w:ilvl w:val="1"/>
                <w:numId w:val="2"/>
              </w:numPr>
              <w:autoSpaceDE w:val="0"/>
              <w:autoSpaceDN w:val="0"/>
              <w:adjustRightInd w:val="0"/>
              <w:snapToGrid w:val="0"/>
              <w:spacing w:before="60"/>
              <w:ind w:left="704" w:hanging="704"/>
              <w:jc w:val="both"/>
              <w:rPr>
                <w:color w:val="000000"/>
                <w:szCs w:val="18"/>
                <w:lang w:eastAsia="en-US" w:bidi="en-US"/>
              </w:rPr>
            </w:pPr>
            <w:r w:rsidRPr="00C10D8F">
              <w:rPr>
                <w:color w:val="000000"/>
                <w:szCs w:val="18"/>
                <w:lang w:val="en" w:eastAsia="en-US" w:bidi="en-US"/>
              </w:rPr>
              <w:t xml:space="preserve">All rights (including voting rights and the right to receive dividends) which are due to the shareholder (Option </w:t>
            </w:r>
            <w:r>
              <w:rPr>
                <w:color w:val="000000"/>
                <w:szCs w:val="18"/>
                <w:lang w:val="en" w:eastAsia="en-US" w:bidi="en-US"/>
              </w:rPr>
              <w:t>H</w:t>
            </w:r>
            <w:r w:rsidRPr="00C10D8F">
              <w:rPr>
                <w:color w:val="000000"/>
                <w:szCs w:val="18"/>
                <w:lang w:val="en" w:eastAsia="en-US" w:bidi="en-US"/>
              </w:rPr>
              <w:t xml:space="preserve">older) as the acquirer of the Company's newly issued shares, are </w:t>
            </w:r>
            <w:r>
              <w:rPr>
                <w:color w:val="000000"/>
                <w:szCs w:val="18"/>
                <w:lang w:val="en" w:eastAsia="en-US" w:bidi="en-US"/>
              </w:rPr>
              <w:t>obtained</w:t>
            </w:r>
            <w:r w:rsidRPr="00C10D8F">
              <w:rPr>
                <w:color w:val="000000"/>
                <w:szCs w:val="18"/>
                <w:lang w:val="en" w:eastAsia="en-US" w:bidi="en-US"/>
              </w:rPr>
              <w:t xml:space="preserve"> from the moment when (</w:t>
            </w:r>
            <w:proofErr w:type="spellStart"/>
            <w:r w:rsidRPr="00C10D8F">
              <w:rPr>
                <w:color w:val="000000"/>
                <w:szCs w:val="18"/>
                <w:lang w:val="en" w:eastAsia="en-US" w:bidi="en-US"/>
              </w:rPr>
              <w:t>i</w:t>
            </w:r>
            <w:proofErr w:type="spellEnd"/>
            <w:r w:rsidRPr="00C10D8F">
              <w:rPr>
                <w:color w:val="000000"/>
                <w:szCs w:val="18"/>
                <w:lang w:val="en" w:eastAsia="en-US" w:bidi="en-US"/>
              </w:rPr>
              <w:t xml:space="preserve">) the increase of the share capital is registered in the </w:t>
            </w:r>
            <w:r>
              <w:rPr>
                <w:color w:val="000000"/>
                <w:szCs w:val="18"/>
                <w:lang w:val="en" w:eastAsia="en-US" w:bidi="en-US"/>
              </w:rPr>
              <w:t>C</w:t>
            </w:r>
            <w:r w:rsidRPr="00C10D8F">
              <w:rPr>
                <w:color w:val="000000"/>
                <w:szCs w:val="18"/>
                <w:lang w:val="en" w:eastAsia="en-US" w:bidi="en-US"/>
              </w:rPr>
              <w:t xml:space="preserve">ommercial register of the Enterprise Register of Latvia in accordance with the provisions of Commercial Law and (ii) when the newly issued shares are registered in the Option </w:t>
            </w:r>
            <w:r>
              <w:rPr>
                <w:color w:val="000000"/>
                <w:szCs w:val="18"/>
                <w:lang w:val="en" w:eastAsia="en-US" w:bidi="en-US"/>
              </w:rPr>
              <w:t>H</w:t>
            </w:r>
            <w:r w:rsidRPr="00C10D8F">
              <w:rPr>
                <w:color w:val="000000"/>
                <w:szCs w:val="18"/>
                <w:lang w:val="en" w:eastAsia="en-US" w:bidi="en-US"/>
              </w:rPr>
              <w:t>older's financial instruments account in accordance with the provisions of the Financial Instruments Market Law.</w:t>
            </w:r>
          </w:p>
        </w:tc>
      </w:tr>
      <w:tr w:rsidR="00926049" w:rsidRPr="00926049" w14:paraId="17C992B2" w14:textId="77777777" w:rsidTr="008B5E1E">
        <w:trPr>
          <w:trHeight w:val="80"/>
          <w:jc w:val="center"/>
        </w:trPr>
        <w:tc>
          <w:tcPr>
            <w:tcW w:w="5145" w:type="dxa"/>
          </w:tcPr>
          <w:p w14:paraId="149DA895" w14:textId="01DE5FD2" w:rsidR="00926049" w:rsidRPr="00926049" w:rsidRDefault="00926049" w:rsidP="00AF3B68">
            <w:pPr>
              <w:numPr>
                <w:ilvl w:val="0"/>
                <w:numId w:val="1"/>
              </w:numPr>
              <w:autoSpaceDE w:val="0"/>
              <w:autoSpaceDN w:val="0"/>
              <w:adjustRightInd w:val="0"/>
              <w:snapToGrid w:val="0"/>
              <w:spacing w:before="120" w:after="120"/>
              <w:ind w:left="457" w:hanging="357"/>
              <w:jc w:val="both"/>
              <w:rPr>
                <w:rFonts w:eastAsia="Calibri"/>
                <w:szCs w:val="18"/>
                <w:lang w:val="lv-LV"/>
              </w:rPr>
            </w:pPr>
            <w:r w:rsidRPr="00926049">
              <w:rPr>
                <w:rFonts w:eastAsia="Calibri"/>
                <w:b/>
                <w:bCs/>
                <w:szCs w:val="18"/>
                <w:lang w:val="lv-LV"/>
              </w:rPr>
              <w:t>PERSONĀLA OPCIJU TURĒTĀJU TIESĪBAS</w:t>
            </w:r>
          </w:p>
        </w:tc>
        <w:tc>
          <w:tcPr>
            <w:tcW w:w="5061" w:type="dxa"/>
          </w:tcPr>
          <w:p w14:paraId="7F5916B8" w14:textId="20B5287E" w:rsidR="00926049" w:rsidRPr="00124000" w:rsidRDefault="00926049" w:rsidP="00AF3B68">
            <w:pPr>
              <w:numPr>
                <w:ilvl w:val="0"/>
                <w:numId w:val="2"/>
              </w:numPr>
              <w:autoSpaceDE w:val="0"/>
              <w:autoSpaceDN w:val="0"/>
              <w:adjustRightInd w:val="0"/>
              <w:snapToGrid w:val="0"/>
              <w:spacing w:before="120" w:after="120"/>
              <w:ind w:left="566" w:hanging="357"/>
              <w:jc w:val="both"/>
              <w:rPr>
                <w:b/>
                <w:szCs w:val="18"/>
              </w:rPr>
            </w:pPr>
            <w:r w:rsidRPr="00124000">
              <w:rPr>
                <w:b/>
                <w:szCs w:val="18"/>
              </w:rPr>
              <w:t xml:space="preserve">RIGHTS OF </w:t>
            </w:r>
            <w:r w:rsidR="003D5AA3">
              <w:rPr>
                <w:b/>
                <w:szCs w:val="18"/>
              </w:rPr>
              <w:t>S</w:t>
            </w:r>
            <w:r w:rsidR="003D5AA3">
              <w:rPr>
                <w:b/>
              </w:rPr>
              <w:t xml:space="preserve">HARE </w:t>
            </w:r>
            <w:r w:rsidRPr="00124000">
              <w:rPr>
                <w:b/>
                <w:szCs w:val="18"/>
              </w:rPr>
              <w:t>OPTION HOLDERS</w:t>
            </w:r>
          </w:p>
        </w:tc>
      </w:tr>
      <w:tr w:rsidR="00926049" w:rsidRPr="00926049" w14:paraId="4D76FD24" w14:textId="77777777" w:rsidTr="008B5E1E">
        <w:trPr>
          <w:trHeight w:val="80"/>
          <w:jc w:val="center"/>
        </w:trPr>
        <w:tc>
          <w:tcPr>
            <w:tcW w:w="5145" w:type="dxa"/>
          </w:tcPr>
          <w:p w14:paraId="03BB51C1" w14:textId="6AEBA83B" w:rsidR="00926049" w:rsidRPr="00926049" w:rsidRDefault="00926049" w:rsidP="00C33718">
            <w:pPr>
              <w:numPr>
                <w:ilvl w:val="1"/>
                <w:numId w:val="1"/>
              </w:numPr>
              <w:autoSpaceDE w:val="0"/>
              <w:autoSpaceDN w:val="0"/>
              <w:adjustRightInd w:val="0"/>
              <w:snapToGrid w:val="0"/>
              <w:spacing w:before="60"/>
              <w:ind w:left="604" w:hanging="425"/>
              <w:jc w:val="both"/>
              <w:rPr>
                <w:rFonts w:eastAsia="Calibri"/>
                <w:szCs w:val="18"/>
                <w:lang w:val="lv-LV"/>
              </w:rPr>
            </w:pPr>
            <w:r w:rsidRPr="00926049">
              <w:rPr>
                <w:rFonts w:eastAsia="Calibri"/>
                <w:szCs w:val="18"/>
                <w:lang w:val="lv-LV"/>
              </w:rPr>
              <w:t>Katram personāla opciju turētājam ir šādas tiesības:</w:t>
            </w:r>
          </w:p>
        </w:tc>
        <w:tc>
          <w:tcPr>
            <w:tcW w:w="5061" w:type="dxa"/>
          </w:tcPr>
          <w:p w14:paraId="443C041F" w14:textId="79CDB8C2" w:rsidR="00926049" w:rsidRPr="00124000" w:rsidRDefault="00926049" w:rsidP="00C33718">
            <w:pPr>
              <w:numPr>
                <w:ilvl w:val="1"/>
                <w:numId w:val="2"/>
              </w:numPr>
              <w:autoSpaceDE w:val="0"/>
              <w:autoSpaceDN w:val="0"/>
              <w:adjustRightInd w:val="0"/>
              <w:snapToGrid w:val="0"/>
              <w:spacing w:before="60"/>
              <w:ind w:left="562" w:hanging="562"/>
              <w:jc w:val="both"/>
              <w:rPr>
                <w:bCs/>
                <w:szCs w:val="18"/>
              </w:rPr>
            </w:pPr>
            <w:r w:rsidRPr="00124000">
              <w:rPr>
                <w:bCs/>
                <w:szCs w:val="18"/>
              </w:rPr>
              <w:t>Each Option Holder has the following rights:</w:t>
            </w:r>
          </w:p>
        </w:tc>
      </w:tr>
      <w:tr w:rsidR="00926049" w:rsidRPr="00926049" w14:paraId="17CC4648" w14:textId="77777777" w:rsidTr="00926049">
        <w:trPr>
          <w:trHeight w:val="426"/>
          <w:jc w:val="center"/>
        </w:trPr>
        <w:tc>
          <w:tcPr>
            <w:tcW w:w="5145" w:type="dxa"/>
          </w:tcPr>
          <w:p w14:paraId="7E1C12CA" w14:textId="77777777" w:rsidR="00926049" w:rsidRPr="00926049" w:rsidRDefault="00926049" w:rsidP="00C33718">
            <w:pPr>
              <w:numPr>
                <w:ilvl w:val="2"/>
                <w:numId w:val="1"/>
              </w:numPr>
              <w:autoSpaceDE w:val="0"/>
              <w:autoSpaceDN w:val="0"/>
              <w:adjustRightInd w:val="0"/>
              <w:snapToGrid w:val="0"/>
              <w:spacing w:before="60"/>
              <w:ind w:left="1313" w:hanging="709"/>
              <w:jc w:val="both"/>
              <w:rPr>
                <w:rFonts w:eastAsia="Calibri"/>
                <w:szCs w:val="18"/>
                <w:lang w:val="lv-LV"/>
              </w:rPr>
            </w:pPr>
            <w:r w:rsidRPr="00926049">
              <w:rPr>
                <w:rFonts w:eastAsia="Calibri"/>
                <w:szCs w:val="18"/>
                <w:lang w:val="lv-LV"/>
              </w:rPr>
              <w:t>bez maksas iegūt Sabiedrības jaunās emisijas akcijas šajos Noteikumos noteiktajā kārtībā un termiņos;</w:t>
            </w:r>
          </w:p>
          <w:p w14:paraId="1609CB04" w14:textId="359ABEB7" w:rsidR="00926049" w:rsidRPr="00926049" w:rsidRDefault="00926049" w:rsidP="00C33718">
            <w:pPr>
              <w:numPr>
                <w:ilvl w:val="2"/>
                <w:numId w:val="1"/>
              </w:numPr>
              <w:autoSpaceDE w:val="0"/>
              <w:autoSpaceDN w:val="0"/>
              <w:adjustRightInd w:val="0"/>
              <w:snapToGrid w:val="0"/>
              <w:spacing w:before="60"/>
              <w:ind w:left="1313" w:hanging="709"/>
              <w:jc w:val="both"/>
              <w:rPr>
                <w:rFonts w:eastAsia="Calibri"/>
                <w:szCs w:val="18"/>
                <w:lang w:val="lv-LV"/>
              </w:rPr>
            </w:pPr>
            <w:r w:rsidRPr="00926049">
              <w:rPr>
                <w:rFonts w:eastAsia="Calibri"/>
                <w:szCs w:val="18"/>
                <w:lang w:val="lv-LV"/>
              </w:rPr>
              <w:t xml:space="preserve">saņemt izrakstu </w:t>
            </w:r>
            <w:r w:rsidR="00AD5843">
              <w:rPr>
                <w:rFonts w:eastAsia="Calibri"/>
                <w:szCs w:val="18"/>
                <w:lang w:val="lv-LV"/>
              </w:rPr>
              <w:t xml:space="preserve">no Sabiedrības Opciju reģistra </w:t>
            </w:r>
            <w:r w:rsidRPr="00926049">
              <w:rPr>
                <w:rFonts w:eastAsia="Calibri"/>
                <w:szCs w:val="18"/>
                <w:lang w:val="lv-LV"/>
              </w:rPr>
              <w:t>par sev piederošajām personāla opcijām;</w:t>
            </w:r>
          </w:p>
          <w:p w14:paraId="68DA2CC9" w14:textId="0A208B6F" w:rsidR="00926049" w:rsidRPr="00926049" w:rsidRDefault="00926049" w:rsidP="00C33718">
            <w:pPr>
              <w:numPr>
                <w:ilvl w:val="2"/>
                <w:numId w:val="1"/>
              </w:numPr>
              <w:autoSpaceDE w:val="0"/>
              <w:autoSpaceDN w:val="0"/>
              <w:adjustRightInd w:val="0"/>
              <w:snapToGrid w:val="0"/>
              <w:spacing w:before="60"/>
              <w:ind w:left="1313" w:hanging="709"/>
              <w:jc w:val="both"/>
              <w:rPr>
                <w:rFonts w:eastAsia="Calibri"/>
                <w:szCs w:val="18"/>
                <w:lang w:val="lv-LV"/>
              </w:rPr>
            </w:pPr>
            <w:r w:rsidRPr="00926049">
              <w:rPr>
                <w:rFonts w:eastAsia="Calibri"/>
                <w:szCs w:val="18"/>
                <w:lang w:val="lv-LV"/>
              </w:rPr>
              <w:t>citas šajos Noteikumos un Komerclikumā noteiktās tiesības.</w:t>
            </w:r>
          </w:p>
        </w:tc>
        <w:tc>
          <w:tcPr>
            <w:tcW w:w="5061" w:type="dxa"/>
          </w:tcPr>
          <w:p w14:paraId="29247BB7" w14:textId="389EF4A9" w:rsidR="00926049" w:rsidRPr="00124000" w:rsidRDefault="00926049" w:rsidP="00C33718">
            <w:pPr>
              <w:numPr>
                <w:ilvl w:val="2"/>
                <w:numId w:val="2"/>
              </w:numPr>
              <w:autoSpaceDE w:val="0"/>
              <w:autoSpaceDN w:val="0"/>
              <w:adjustRightInd w:val="0"/>
              <w:snapToGrid w:val="0"/>
              <w:spacing w:before="60"/>
              <w:ind w:left="1129"/>
              <w:jc w:val="both"/>
              <w:rPr>
                <w:rStyle w:val="rynqvb"/>
              </w:rPr>
            </w:pPr>
            <w:r w:rsidRPr="00124000">
              <w:rPr>
                <w:rStyle w:val="rynqvb"/>
              </w:rPr>
              <w:t xml:space="preserve">to obtain the Company's newly issued shares free of charge in accordance with the procedures and terms specified in these </w:t>
            </w:r>
            <w:proofErr w:type="gramStart"/>
            <w:r w:rsidR="009F70B6">
              <w:rPr>
                <w:rStyle w:val="rynqvb"/>
              </w:rPr>
              <w:t>Terms</w:t>
            </w:r>
            <w:r w:rsidRPr="00124000">
              <w:rPr>
                <w:rStyle w:val="rynqvb"/>
              </w:rPr>
              <w:t>;</w:t>
            </w:r>
            <w:proofErr w:type="gramEnd"/>
            <w:r w:rsidRPr="00124000">
              <w:rPr>
                <w:rStyle w:val="rynqvb"/>
              </w:rPr>
              <w:t xml:space="preserve"> </w:t>
            </w:r>
          </w:p>
          <w:p w14:paraId="72281843" w14:textId="1AE26302" w:rsidR="00926049" w:rsidRPr="00124000" w:rsidRDefault="00926049" w:rsidP="00C33718">
            <w:pPr>
              <w:numPr>
                <w:ilvl w:val="2"/>
                <w:numId w:val="2"/>
              </w:numPr>
              <w:autoSpaceDE w:val="0"/>
              <w:autoSpaceDN w:val="0"/>
              <w:adjustRightInd w:val="0"/>
              <w:snapToGrid w:val="0"/>
              <w:spacing w:before="60"/>
              <w:ind w:left="1129"/>
              <w:jc w:val="both"/>
              <w:rPr>
                <w:rStyle w:val="rynqvb"/>
              </w:rPr>
            </w:pPr>
            <w:r w:rsidRPr="00124000">
              <w:rPr>
                <w:rStyle w:val="rynqvb"/>
              </w:rPr>
              <w:t xml:space="preserve">to receive an extract from Company's </w:t>
            </w:r>
            <w:r w:rsidR="00AD5843">
              <w:rPr>
                <w:rStyle w:val="rynqvb"/>
              </w:rPr>
              <w:t xml:space="preserve">Option register about the owned share </w:t>
            </w:r>
            <w:proofErr w:type="gramStart"/>
            <w:r w:rsidR="00AD5843">
              <w:rPr>
                <w:rStyle w:val="rynqvb"/>
              </w:rPr>
              <w:t>options</w:t>
            </w:r>
            <w:r w:rsidRPr="00124000">
              <w:rPr>
                <w:rStyle w:val="rynqvb"/>
              </w:rPr>
              <w:t>;</w:t>
            </w:r>
            <w:proofErr w:type="gramEnd"/>
            <w:r w:rsidRPr="00124000">
              <w:rPr>
                <w:rStyle w:val="rynqvb"/>
              </w:rPr>
              <w:t xml:space="preserve"> </w:t>
            </w:r>
          </w:p>
          <w:p w14:paraId="14F50BA4" w14:textId="78735E58" w:rsidR="00926049" w:rsidRPr="00124000" w:rsidRDefault="00926049" w:rsidP="00C33718">
            <w:pPr>
              <w:numPr>
                <w:ilvl w:val="2"/>
                <w:numId w:val="2"/>
              </w:numPr>
              <w:autoSpaceDE w:val="0"/>
              <w:autoSpaceDN w:val="0"/>
              <w:adjustRightInd w:val="0"/>
              <w:snapToGrid w:val="0"/>
              <w:spacing w:before="60"/>
              <w:ind w:left="1129"/>
              <w:jc w:val="both"/>
              <w:rPr>
                <w:b/>
                <w:szCs w:val="18"/>
              </w:rPr>
            </w:pPr>
            <w:r w:rsidRPr="00124000">
              <w:rPr>
                <w:rStyle w:val="rynqvb"/>
              </w:rPr>
              <w:t>other rights specified in these Terms and the Commercial Law.</w:t>
            </w:r>
          </w:p>
        </w:tc>
      </w:tr>
      <w:tr w:rsidR="00E51E5A" w:rsidRPr="00926049" w14:paraId="11352B9E" w14:textId="77777777" w:rsidTr="008B5E1E">
        <w:trPr>
          <w:trHeight w:val="80"/>
          <w:jc w:val="center"/>
        </w:trPr>
        <w:tc>
          <w:tcPr>
            <w:tcW w:w="5145" w:type="dxa"/>
          </w:tcPr>
          <w:p w14:paraId="425CD9FD" w14:textId="1AA82D93" w:rsidR="00E51E5A" w:rsidRPr="00926049" w:rsidRDefault="00E51E5A" w:rsidP="00AF3B68">
            <w:pPr>
              <w:numPr>
                <w:ilvl w:val="0"/>
                <w:numId w:val="1"/>
              </w:numPr>
              <w:autoSpaceDE w:val="0"/>
              <w:autoSpaceDN w:val="0"/>
              <w:adjustRightInd w:val="0"/>
              <w:snapToGrid w:val="0"/>
              <w:spacing w:before="120" w:after="120"/>
              <w:ind w:left="457" w:hanging="357"/>
              <w:jc w:val="both"/>
              <w:rPr>
                <w:rFonts w:eastAsia="Calibri"/>
                <w:szCs w:val="18"/>
                <w:lang w:val="lv-LV"/>
              </w:rPr>
            </w:pPr>
            <w:r w:rsidRPr="00926049">
              <w:rPr>
                <w:rFonts w:eastAsia="Calibri"/>
                <w:b/>
                <w:bCs/>
                <w:szCs w:val="18"/>
                <w:lang w:val="lv-LV"/>
              </w:rPr>
              <w:t xml:space="preserve">JAUNO AKCIJU APMAKSAS KĀRTĪBA UN </w:t>
            </w:r>
            <w:r w:rsidRPr="00926049">
              <w:rPr>
                <w:b/>
                <w:bCs/>
                <w:caps/>
                <w:color w:val="000000"/>
                <w:szCs w:val="18"/>
                <w:lang w:val="lv-LV" w:eastAsia="lv-LV" w:bidi="lv-LV"/>
              </w:rPr>
              <w:t>TERMIŅŠ</w:t>
            </w:r>
            <w:r w:rsidRPr="00926049">
              <w:rPr>
                <w:rFonts w:eastAsia="Calibri"/>
                <w:b/>
                <w:bCs/>
                <w:szCs w:val="18"/>
                <w:lang w:val="lv-LV"/>
              </w:rPr>
              <w:t>, SABIEDRĪBAS REZERVJU VEIDOŠANA</w:t>
            </w:r>
          </w:p>
        </w:tc>
        <w:tc>
          <w:tcPr>
            <w:tcW w:w="5061" w:type="dxa"/>
          </w:tcPr>
          <w:p w14:paraId="7F238869" w14:textId="616856D6" w:rsidR="00E51E5A" w:rsidRPr="00124000" w:rsidRDefault="003864D6" w:rsidP="00AF3B68">
            <w:pPr>
              <w:numPr>
                <w:ilvl w:val="0"/>
                <w:numId w:val="2"/>
              </w:numPr>
              <w:autoSpaceDE w:val="0"/>
              <w:autoSpaceDN w:val="0"/>
              <w:adjustRightInd w:val="0"/>
              <w:snapToGrid w:val="0"/>
              <w:spacing w:before="120" w:after="120"/>
              <w:ind w:left="566" w:hanging="357"/>
              <w:jc w:val="both"/>
              <w:rPr>
                <w:b/>
                <w:szCs w:val="18"/>
              </w:rPr>
            </w:pPr>
            <w:r w:rsidRPr="00124000">
              <w:rPr>
                <w:b/>
                <w:szCs w:val="18"/>
              </w:rPr>
              <w:t>PAYMENT PROCEDURE AND TERM FOR NEW SHARES, CREATION OF COMPANY RESERVES</w:t>
            </w:r>
          </w:p>
        </w:tc>
      </w:tr>
      <w:tr w:rsidR="00D918F5" w:rsidRPr="00926049" w14:paraId="4A1E675E" w14:textId="77777777" w:rsidTr="008B5E1E">
        <w:trPr>
          <w:trHeight w:val="80"/>
          <w:jc w:val="center"/>
        </w:trPr>
        <w:tc>
          <w:tcPr>
            <w:tcW w:w="5145" w:type="dxa"/>
          </w:tcPr>
          <w:p w14:paraId="05E6FF9E" w14:textId="3ECC77D1" w:rsidR="00D918F5" w:rsidRPr="00926049" w:rsidRDefault="00D918F5" w:rsidP="00C33718">
            <w:pPr>
              <w:numPr>
                <w:ilvl w:val="1"/>
                <w:numId w:val="1"/>
              </w:numPr>
              <w:autoSpaceDE w:val="0"/>
              <w:autoSpaceDN w:val="0"/>
              <w:adjustRightInd w:val="0"/>
              <w:snapToGrid w:val="0"/>
              <w:spacing w:before="60"/>
              <w:jc w:val="both"/>
              <w:rPr>
                <w:color w:val="000000"/>
                <w:szCs w:val="18"/>
                <w:lang w:val="lv-LV" w:eastAsia="lv-LV" w:bidi="lv-LV"/>
              </w:rPr>
            </w:pPr>
            <w:r w:rsidRPr="00926049">
              <w:rPr>
                <w:rFonts w:eastAsia="Calibri"/>
                <w:szCs w:val="18"/>
                <w:lang w:val="lv-LV"/>
              </w:rPr>
              <w:t>Sabiedrība emitē Sabiedrības jaunās emisijas akcijas uz Sabiedrības nesadalītās peļņas rēķina.</w:t>
            </w:r>
          </w:p>
        </w:tc>
        <w:tc>
          <w:tcPr>
            <w:tcW w:w="5061" w:type="dxa"/>
          </w:tcPr>
          <w:p w14:paraId="09E8FC29" w14:textId="01761C8D" w:rsidR="00D918F5" w:rsidRPr="00124000" w:rsidRDefault="00D03390" w:rsidP="00C33718">
            <w:pPr>
              <w:numPr>
                <w:ilvl w:val="1"/>
                <w:numId w:val="2"/>
              </w:numPr>
              <w:autoSpaceDE w:val="0"/>
              <w:autoSpaceDN w:val="0"/>
              <w:adjustRightInd w:val="0"/>
              <w:snapToGrid w:val="0"/>
              <w:spacing w:before="60"/>
              <w:ind w:left="704" w:hanging="704"/>
              <w:jc w:val="both"/>
              <w:rPr>
                <w:b/>
                <w:szCs w:val="18"/>
              </w:rPr>
            </w:pPr>
            <w:r w:rsidRPr="00124000">
              <w:rPr>
                <w:bCs/>
                <w:szCs w:val="18"/>
              </w:rPr>
              <w:t>The</w:t>
            </w:r>
            <w:r w:rsidRPr="00124000">
              <w:rPr>
                <w:rStyle w:val="rynqvb"/>
                <w:bCs/>
                <w:szCs w:val="18"/>
              </w:rPr>
              <w:t xml:space="preserve"> Company issues the Company's newly issued shares at the expense of the</w:t>
            </w:r>
            <w:r w:rsidRPr="00124000">
              <w:rPr>
                <w:rStyle w:val="rynqvb"/>
                <w:szCs w:val="18"/>
              </w:rPr>
              <w:t xml:space="preserve"> Company's retained earnings.</w:t>
            </w:r>
          </w:p>
        </w:tc>
      </w:tr>
      <w:tr w:rsidR="00D918F5" w:rsidRPr="00926049" w14:paraId="44F35CE7" w14:textId="77777777" w:rsidTr="008B5E1E">
        <w:trPr>
          <w:trHeight w:val="80"/>
          <w:jc w:val="center"/>
        </w:trPr>
        <w:tc>
          <w:tcPr>
            <w:tcW w:w="5145" w:type="dxa"/>
          </w:tcPr>
          <w:p w14:paraId="710DAD58" w14:textId="2498886E" w:rsidR="00D918F5" w:rsidRPr="00926049" w:rsidRDefault="00D918F5" w:rsidP="00C33718">
            <w:pPr>
              <w:numPr>
                <w:ilvl w:val="1"/>
                <w:numId w:val="1"/>
              </w:numPr>
              <w:autoSpaceDE w:val="0"/>
              <w:autoSpaceDN w:val="0"/>
              <w:adjustRightInd w:val="0"/>
              <w:snapToGrid w:val="0"/>
              <w:spacing w:before="60"/>
              <w:jc w:val="both"/>
              <w:rPr>
                <w:rFonts w:eastAsia="Calibri"/>
                <w:szCs w:val="18"/>
                <w:lang w:val="lv-LV"/>
              </w:rPr>
            </w:pPr>
            <w:r w:rsidRPr="00926049">
              <w:rPr>
                <w:rFonts w:eastAsia="Calibri"/>
                <w:szCs w:val="18"/>
                <w:lang w:val="lv-LV"/>
              </w:rPr>
              <w:t xml:space="preserve">Sabiedrība apmaksā jaunās emisijas akcijas uz </w:t>
            </w:r>
            <w:r w:rsidRPr="00926049">
              <w:rPr>
                <w:color w:val="000000"/>
                <w:szCs w:val="18"/>
                <w:lang w:val="lv-LV" w:eastAsia="lv-LV" w:bidi="lv-LV"/>
              </w:rPr>
              <w:t>nesadalītās</w:t>
            </w:r>
            <w:r w:rsidRPr="00926049">
              <w:rPr>
                <w:rFonts w:eastAsia="Calibri"/>
                <w:szCs w:val="18"/>
                <w:lang w:val="lv-LV"/>
              </w:rPr>
              <w:t xml:space="preserve"> peļņas rēķina viena mēneša laikā no Sabiedrības valdes lēmuma par akciju emisiju un pamatkapitāla palielināšanu pieņemšanas brīža.</w:t>
            </w:r>
          </w:p>
        </w:tc>
        <w:tc>
          <w:tcPr>
            <w:tcW w:w="5061" w:type="dxa"/>
          </w:tcPr>
          <w:p w14:paraId="34C00101" w14:textId="206E469D" w:rsidR="00D918F5" w:rsidRPr="00124000" w:rsidRDefault="0050400B" w:rsidP="00C33718">
            <w:pPr>
              <w:numPr>
                <w:ilvl w:val="1"/>
                <w:numId w:val="2"/>
              </w:numPr>
              <w:autoSpaceDE w:val="0"/>
              <w:autoSpaceDN w:val="0"/>
              <w:adjustRightInd w:val="0"/>
              <w:snapToGrid w:val="0"/>
              <w:spacing w:before="60"/>
              <w:ind w:left="704" w:hanging="704"/>
              <w:jc w:val="both"/>
              <w:rPr>
                <w:b/>
                <w:szCs w:val="18"/>
              </w:rPr>
            </w:pPr>
            <w:r w:rsidRPr="00124000">
              <w:rPr>
                <w:rStyle w:val="rynqvb"/>
                <w:szCs w:val="18"/>
              </w:rPr>
              <w:t xml:space="preserve">The Company pays for the newly issued shares at the </w:t>
            </w:r>
            <w:r w:rsidRPr="00124000">
              <w:rPr>
                <w:bCs/>
                <w:szCs w:val="18"/>
              </w:rPr>
              <w:t>expense</w:t>
            </w:r>
            <w:r w:rsidRPr="00124000">
              <w:rPr>
                <w:rStyle w:val="rynqvb"/>
                <w:szCs w:val="18"/>
              </w:rPr>
              <w:t xml:space="preserve"> of retained earnings within one month from the moment of adoption of the decision of the Company's </w:t>
            </w:r>
            <w:r w:rsidR="00086538">
              <w:rPr>
                <w:rStyle w:val="rynqvb"/>
                <w:szCs w:val="18"/>
              </w:rPr>
              <w:t>m</w:t>
            </w:r>
            <w:r w:rsidRPr="00124000">
              <w:rPr>
                <w:rStyle w:val="rynqvb"/>
                <w:szCs w:val="18"/>
              </w:rPr>
              <w:t xml:space="preserve">anagement </w:t>
            </w:r>
            <w:r w:rsidR="00086538">
              <w:rPr>
                <w:rStyle w:val="rynqvb"/>
                <w:szCs w:val="18"/>
              </w:rPr>
              <w:t>b</w:t>
            </w:r>
            <w:r w:rsidRPr="00124000">
              <w:rPr>
                <w:rStyle w:val="rynqvb"/>
                <w:szCs w:val="18"/>
              </w:rPr>
              <w:t>oard on the issue of shares and increase of share capital.</w:t>
            </w:r>
          </w:p>
        </w:tc>
      </w:tr>
      <w:tr w:rsidR="004F2753" w:rsidRPr="00926049" w14:paraId="318E1C8F" w14:textId="77777777" w:rsidTr="008B5E1E">
        <w:trPr>
          <w:trHeight w:val="80"/>
          <w:jc w:val="center"/>
        </w:trPr>
        <w:tc>
          <w:tcPr>
            <w:tcW w:w="10206" w:type="dxa"/>
            <w:gridSpan w:val="2"/>
          </w:tcPr>
          <w:p w14:paraId="12094EEC" w14:textId="77777777" w:rsidR="004F2753" w:rsidRPr="00124000" w:rsidRDefault="004F2753" w:rsidP="00C33718">
            <w:pPr>
              <w:pStyle w:val="Style6"/>
              <w:widowControl/>
              <w:spacing w:before="60" w:line="240" w:lineRule="auto"/>
              <w:ind w:firstLine="0"/>
              <w:jc w:val="center"/>
              <w:rPr>
                <w:rFonts w:ascii="Verdana" w:hAnsi="Verdana"/>
                <w:b/>
                <w:sz w:val="18"/>
                <w:szCs w:val="18"/>
                <w:lang w:val="en-GB"/>
              </w:rPr>
            </w:pPr>
          </w:p>
          <w:p w14:paraId="409134D7" w14:textId="77777777" w:rsidR="001A28BA" w:rsidRDefault="001A28BA" w:rsidP="00C33718">
            <w:pPr>
              <w:pStyle w:val="Style6"/>
              <w:widowControl/>
              <w:spacing w:before="60" w:line="240" w:lineRule="auto"/>
              <w:ind w:firstLine="0"/>
              <w:jc w:val="center"/>
              <w:rPr>
                <w:rFonts w:ascii="Verdana" w:hAnsi="Verdana"/>
                <w:b/>
                <w:sz w:val="18"/>
                <w:szCs w:val="18"/>
                <w:lang w:val="en-GB"/>
              </w:rPr>
            </w:pPr>
          </w:p>
          <w:p w14:paraId="770DE190" w14:textId="2111BD20" w:rsidR="004F2753" w:rsidRPr="00124000" w:rsidRDefault="004F2753" w:rsidP="00C33718">
            <w:pPr>
              <w:pStyle w:val="Style6"/>
              <w:widowControl/>
              <w:spacing w:before="60" w:line="240" w:lineRule="auto"/>
              <w:ind w:firstLine="0"/>
              <w:jc w:val="center"/>
              <w:rPr>
                <w:rStyle w:val="FontStyle14"/>
                <w:rFonts w:ascii="Verdana" w:hAnsi="Verdana"/>
                <w:b/>
                <w:sz w:val="18"/>
                <w:szCs w:val="18"/>
                <w:lang w:val="en-GB"/>
              </w:rPr>
            </w:pPr>
            <w:r w:rsidRPr="00124000">
              <w:rPr>
                <w:rFonts w:ascii="Verdana" w:hAnsi="Verdana"/>
                <w:b/>
                <w:sz w:val="18"/>
                <w:szCs w:val="18"/>
                <w:lang w:val="en-GB"/>
              </w:rPr>
              <w:t xml:space="preserve">AS </w:t>
            </w:r>
            <w:r w:rsidRPr="00124000">
              <w:rPr>
                <w:rFonts w:ascii="Verdana" w:hAnsi="Verdana"/>
                <w:b/>
                <w:bCs/>
                <w:sz w:val="18"/>
                <w:szCs w:val="18"/>
                <w:lang w:val="en-GB"/>
              </w:rPr>
              <w:t>“MADARA Cosmetics”</w:t>
            </w:r>
            <w:r w:rsidRPr="00124000">
              <w:rPr>
                <w:rStyle w:val="FontStyle14"/>
                <w:rFonts w:ascii="Verdana" w:hAnsi="Verdana"/>
                <w:b/>
                <w:sz w:val="18"/>
                <w:szCs w:val="18"/>
                <w:lang w:val="en-GB"/>
              </w:rPr>
              <w:t xml:space="preserve"> </w:t>
            </w:r>
            <w:r w:rsidRPr="007F0283">
              <w:rPr>
                <w:rStyle w:val="FontStyle14"/>
                <w:rFonts w:ascii="Verdana" w:hAnsi="Verdana"/>
                <w:b/>
                <w:sz w:val="18"/>
                <w:szCs w:val="18"/>
              </w:rPr>
              <w:t>vārdā</w:t>
            </w:r>
            <w:r w:rsidRPr="00124000">
              <w:rPr>
                <w:rStyle w:val="FontStyle14"/>
                <w:rFonts w:ascii="Verdana" w:hAnsi="Verdana"/>
                <w:b/>
                <w:sz w:val="18"/>
                <w:szCs w:val="18"/>
                <w:lang w:val="en-GB"/>
              </w:rPr>
              <w:t xml:space="preserve"> /</w:t>
            </w:r>
          </w:p>
          <w:p w14:paraId="6A93576F" w14:textId="77777777" w:rsidR="004F2753" w:rsidRPr="00124000" w:rsidRDefault="004F2753" w:rsidP="00C33718">
            <w:pPr>
              <w:pStyle w:val="Style6"/>
              <w:widowControl/>
              <w:spacing w:before="60" w:line="240" w:lineRule="auto"/>
              <w:ind w:firstLine="0"/>
              <w:jc w:val="center"/>
              <w:rPr>
                <w:rFonts w:ascii="Verdana" w:hAnsi="Verdana"/>
                <w:sz w:val="18"/>
                <w:szCs w:val="18"/>
                <w:lang w:val="en-GB"/>
              </w:rPr>
            </w:pPr>
            <w:r w:rsidRPr="00124000">
              <w:rPr>
                <w:rStyle w:val="FontStyle14"/>
                <w:rFonts w:ascii="Verdana" w:hAnsi="Verdana"/>
                <w:b/>
                <w:sz w:val="18"/>
                <w:szCs w:val="18"/>
                <w:lang w:val="en-GB"/>
              </w:rPr>
              <w:t xml:space="preserve">On behalf of </w:t>
            </w:r>
            <w:r w:rsidRPr="00124000">
              <w:rPr>
                <w:rFonts w:ascii="Verdana" w:hAnsi="Verdana"/>
                <w:b/>
                <w:sz w:val="18"/>
                <w:szCs w:val="18"/>
                <w:lang w:val="en-GB"/>
              </w:rPr>
              <w:t xml:space="preserve">AS </w:t>
            </w:r>
            <w:r w:rsidRPr="00124000">
              <w:rPr>
                <w:rFonts w:ascii="Verdana" w:hAnsi="Verdana"/>
                <w:b/>
                <w:bCs/>
                <w:sz w:val="18"/>
                <w:szCs w:val="18"/>
                <w:lang w:val="en-GB"/>
              </w:rPr>
              <w:t>“MADARA Cosmetics”:</w:t>
            </w:r>
          </w:p>
        </w:tc>
      </w:tr>
      <w:tr w:rsidR="004F2753" w:rsidRPr="00926049" w14:paraId="0C60166B" w14:textId="77777777" w:rsidTr="008B5E1E">
        <w:trPr>
          <w:trHeight w:val="80"/>
          <w:jc w:val="center"/>
        </w:trPr>
        <w:tc>
          <w:tcPr>
            <w:tcW w:w="10206" w:type="dxa"/>
            <w:gridSpan w:val="2"/>
          </w:tcPr>
          <w:p w14:paraId="40236492" w14:textId="77777777" w:rsidR="001A28BA" w:rsidRDefault="001A28BA" w:rsidP="00C33718">
            <w:pPr>
              <w:pStyle w:val="Style6"/>
              <w:widowControl/>
              <w:spacing w:before="60" w:line="240" w:lineRule="auto"/>
              <w:ind w:firstLine="0"/>
              <w:jc w:val="center"/>
              <w:rPr>
                <w:rFonts w:ascii="Verdana" w:hAnsi="Verdana"/>
                <w:b/>
                <w:sz w:val="18"/>
                <w:szCs w:val="18"/>
                <w:lang w:val="en-GB"/>
              </w:rPr>
            </w:pPr>
          </w:p>
          <w:p w14:paraId="33EA6E9F" w14:textId="28D61CAB" w:rsidR="004F2753" w:rsidRDefault="001A28BA" w:rsidP="00C33718">
            <w:pPr>
              <w:pStyle w:val="Style6"/>
              <w:widowControl/>
              <w:spacing w:before="60" w:line="240" w:lineRule="auto"/>
              <w:ind w:firstLine="0"/>
              <w:jc w:val="center"/>
              <w:rPr>
                <w:rFonts w:ascii="Verdana" w:hAnsi="Verdana"/>
                <w:b/>
                <w:sz w:val="18"/>
                <w:szCs w:val="18"/>
                <w:lang w:val="en-GB"/>
              </w:rPr>
            </w:pPr>
            <w:r>
              <w:rPr>
                <w:rFonts w:ascii="Verdana" w:hAnsi="Verdana"/>
                <w:b/>
                <w:sz w:val="18"/>
                <w:szCs w:val="18"/>
                <w:lang w:val="en-GB"/>
              </w:rPr>
              <w:t>________________</w:t>
            </w:r>
          </w:p>
          <w:p w14:paraId="4D210E05" w14:textId="77777777" w:rsidR="004F2753" w:rsidRPr="00124000" w:rsidRDefault="004F2753" w:rsidP="00C33718">
            <w:pPr>
              <w:pStyle w:val="Style6"/>
              <w:widowControl/>
              <w:spacing w:before="60" w:line="240" w:lineRule="auto"/>
              <w:ind w:firstLine="0"/>
              <w:jc w:val="center"/>
              <w:rPr>
                <w:rFonts w:ascii="Verdana" w:hAnsi="Verdana"/>
                <w:b/>
                <w:sz w:val="18"/>
                <w:szCs w:val="18"/>
                <w:lang w:val="en-GB"/>
              </w:rPr>
            </w:pPr>
            <w:r w:rsidRPr="00124000">
              <w:rPr>
                <w:rFonts w:ascii="Verdana" w:hAnsi="Verdana"/>
                <w:b/>
                <w:sz w:val="18"/>
                <w:szCs w:val="18"/>
                <w:lang w:val="en-GB"/>
              </w:rPr>
              <w:t>Uldis Iltners</w:t>
            </w:r>
          </w:p>
          <w:p w14:paraId="305D746B" w14:textId="77777777" w:rsidR="001A28BA" w:rsidRDefault="004F2753" w:rsidP="00C33718">
            <w:pPr>
              <w:pStyle w:val="Style6"/>
              <w:widowControl/>
              <w:spacing w:before="60" w:line="240" w:lineRule="auto"/>
              <w:ind w:firstLine="0"/>
              <w:jc w:val="center"/>
              <w:rPr>
                <w:rFonts w:ascii="Verdana" w:hAnsi="Verdana"/>
                <w:sz w:val="18"/>
                <w:szCs w:val="18"/>
                <w:lang w:val="en-GB"/>
              </w:rPr>
            </w:pPr>
            <w:r w:rsidRPr="007F0283">
              <w:rPr>
                <w:rFonts w:ascii="Verdana" w:hAnsi="Verdana"/>
                <w:sz w:val="18"/>
                <w:szCs w:val="18"/>
              </w:rPr>
              <w:t>Valdes loceklis</w:t>
            </w:r>
            <w:r w:rsidRPr="00124000">
              <w:rPr>
                <w:rFonts w:ascii="Verdana" w:hAnsi="Verdana"/>
                <w:sz w:val="18"/>
                <w:szCs w:val="18"/>
                <w:lang w:val="en-GB"/>
              </w:rPr>
              <w:t xml:space="preserve"> / </w:t>
            </w:r>
          </w:p>
          <w:p w14:paraId="0823B08F" w14:textId="3916879D" w:rsidR="004F2753" w:rsidRDefault="004F2753" w:rsidP="00C33718">
            <w:pPr>
              <w:pStyle w:val="Style6"/>
              <w:widowControl/>
              <w:spacing w:before="60" w:line="240" w:lineRule="auto"/>
              <w:ind w:firstLine="0"/>
              <w:jc w:val="center"/>
              <w:rPr>
                <w:rFonts w:ascii="Verdana" w:hAnsi="Verdana"/>
                <w:sz w:val="18"/>
                <w:szCs w:val="18"/>
                <w:lang w:val="en-GB"/>
              </w:rPr>
            </w:pPr>
            <w:r w:rsidRPr="00124000">
              <w:rPr>
                <w:rFonts w:ascii="Verdana" w:hAnsi="Verdana"/>
                <w:sz w:val="18"/>
                <w:szCs w:val="18"/>
                <w:lang w:val="en-GB"/>
              </w:rPr>
              <w:t>Management Board Member</w:t>
            </w:r>
          </w:p>
          <w:p w14:paraId="0A2791E3" w14:textId="77777777" w:rsidR="00C33718" w:rsidRPr="00124000" w:rsidRDefault="00C33718" w:rsidP="00C33718">
            <w:pPr>
              <w:pStyle w:val="Style6"/>
              <w:widowControl/>
              <w:spacing w:before="60" w:line="240" w:lineRule="auto"/>
              <w:ind w:firstLine="0"/>
              <w:jc w:val="center"/>
              <w:rPr>
                <w:rFonts w:ascii="Verdana" w:hAnsi="Verdana"/>
                <w:sz w:val="18"/>
                <w:szCs w:val="18"/>
                <w:lang w:val="en-GB"/>
              </w:rPr>
            </w:pPr>
          </w:p>
          <w:p w14:paraId="79AD6747" w14:textId="77777777" w:rsidR="004F2753" w:rsidRPr="00124000" w:rsidRDefault="004F2753" w:rsidP="00C33718">
            <w:pPr>
              <w:pStyle w:val="Style6"/>
              <w:widowControl/>
              <w:spacing w:before="60" w:line="240" w:lineRule="auto"/>
              <w:ind w:firstLine="0"/>
              <w:rPr>
                <w:rStyle w:val="FontStyle14"/>
                <w:rFonts w:ascii="Verdana" w:hAnsi="Verdana"/>
                <w:sz w:val="18"/>
                <w:szCs w:val="18"/>
                <w:lang w:val="en-GB"/>
              </w:rPr>
            </w:pPr>
            <w:r w:rsidRPr="00124000">
              <w:rPr>
                <w:rFonts w:ascii="Verdana" w:hAnsi="Verdana"/>
                <w:bCs/>
                <w:color w:val="000000"/>
                <w:sz w:val="18"/>
                <w:szCs w:val="18"/>
                <w:lang w:val="en-GB"/>
              </w:rPr>
              <w:t>ŠIS DOKUMENTS IR PARAKSTĪTS AR DROŠU ELEKTRONISKO PARAKSTU UN SATUR LAIKA ZĪMOGU / THIS DOCUMENT HAS BEEN SIGNED WITH A SECURE ELECTRONIC SIGNATURE AND CONTAINS A TIME STAMP</w:t>
            </w:r>
          </w:p>
        </w:tc>
      </w:tr>
    </w:tbl>
    <w:p w14:paraId="5D48B1A7" w14:textId="77777777" w:rsidR="004F2753" w:rsidRPr="001A28BA" w:rsidRDefault="004F2753" w:rsidP="005866DA">
      <w:pPr>
        <w:rPr>
          <w:szCs w:val="18"/>
        </w:rPr>
      </w:pPr>
    </w:p>
    <w:sectPr w:rsidR="004F2753" w:rsidRPr="001A28B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000E" w14:textId="77777777" w:rsidR="00AC1B31" w:rsidRDefault="00CA086C">
      <w:r>
        <w:separator/>
      </w:r>
    </w:p>
  </w:endnote>
  <w:endnote w:type="continuationSeparator" w:id="0">
    <w:p w14:paraId="0C8FF666" w14:textId="77777777" w:rsidR="00AC1B31" w:rsidRDefault="00CA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64664"/>
      <w:docPartObj>
        <w:docPartGallery w:val="Page Numbers (Bottom of Page)"/>
        <w:docPartUnique/>
      </w:docPartObj>
    </w:sdtPr>
    <w:sdtEndPr>
      <w:rPr>
        <w:noProof/>
      </w:rPr>
    </w:sdtEndPr>
    <w:sdtContent>
      <w:p w14:paraId="48D44901" w14:textId="77777777" w:rsidR="007A3A1D" w:rsidRDefault="00D918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19670" w14:textId="77777777" w:rsidR="007A3A1D" w:rsidRDefault="00C4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0D7B" w14:textId="77777777" w:rsidR="00AC1B31" w:rsidRDefault="00CA086C">
      <w:r>
        <w:separator/>
      </w:r>
    </w:p>
  </w:footnote>
  <w:footnote w:type="continuationSeparator" w:id="0">
    <w:p w14:paraId="078103F3" w14:textId="77777777" w:rsidR="00AC1B31" w:rsidRDefault="00CA0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684"/>
    <w:multiLevelType w:val="multilevel"/>
    <w:tmpl w:val="8D4E7440"/>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4487B47"/>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084A69"/>
    <w:multiLevelType w:val="multilevel"/>
    <w:tmpl w:val="5F28EF1E"/>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BAE4794"/>
    <w:multiLevelType w:val="multilevel"/>
    <w:tmpl w:val="6B54DA02"/>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BBE2D95"/>
    <w:multiLevelType w:val="multilevel"/>
    <w:tmpl w:val="E18C55B0"/>
    <w:lvl w:ilvl="0">
      <w:start w:val="2"/>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D4CEB"/>
    <w:multiLevelType w:val="multilevel"/>
    <w:tmpl w:val="AB58C4C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5B73320"/>
    <w:multiLevelType w:val="multilevel"/>
    <w:tmpl w:val="8D4E7440"/>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9AD3523"/>
    <w:multiLevelType w:val="multilevel"/>
    <w:tmpl w:val="A6E882BE"/>
    <w:lvl w:ilvl="0">
      <w:start w:val="1"/>
      <w:numFmt w:val="decimal"/>
      <w:lvlText w:val="%1."/>
      <w:lvlJc w:val="left"/>
      <w:pPr>
        <w:ind w:left="796" w:hanging="360"/>
      </w:pPr>
    </w:lvl>
    <w:lvl w:ilvl="1">
      <w:start w:val="1"/>
      <w:numFmt w:val="decimal"/>
      <w:lvlText w:val="%1.%2."/>
      <w:lvlJc w:val="left"/>
      <w:pPr>
        <w:ind w:left="1228" w:hanging="432"/>
      </w:pPr>
      <w:rPr>
        <w:b w:val="0"/>
        <w:bCs w:val="0"/>
      </w:rPr>
    </w:lvl>
    <w:lvl w:ilvl="2">
      <w:start w:val="1"/>
      <w:numFmt w:val="decimal"/>
      <w:lvlText w:val="%1.%2.%3."/>
      <w:lvlJc w:val="left"/>
      <w:pPr>
        <w:ind w:left="1660" w:hanging="504"/>
      </w:pPr>
      <w:rPr>
        <w:b w:val="0"/>
        <w:bCs w:val="0"/>
      </w:rPr>
    </w:lvl>
    <w:lvl w:ilvl="3">
      <w:start w:val="1"/>
      <w:numFmt w:val="decimal"/>
      <w:lvlText w:val="%1.%2.%3.%4."/>
      <w:lvlJc w:val="left"/>
      <w:pPr>
        <w:ind w:left="2164" w:hanging="648"/>
      </w:pPr>
    </w:lvl>
    <w:lvl w:ilvl="4">
      <w:start w:val="1"/>
      <w:numFmt w:val="decimal"/>
      <w:lvlText w:val="%1.%2.%3.%4.%5."/>
      <w:lvlJc w:val="left"/>
      <w:pPr>
        <w:ind w:left="2668" w:hanging="792"/>
      </w:pPr>
    </w:lvl>
    <w:lvl w:ilvl="5">
      <w:start w:val="1"/>
      <w:numFmt w:val="decimal"/>
      <w:lvlText w:val="%1.%2.%3.%4.%5.%6."/>
      <w:lvlJc w:val="left"/>
      <w:pPr>
        <w:ind w:left="3172" w:hanging="936"/>
      </w:pPr>
    </w:lvl>
    <w:lvl w:ilvl="6">
      <w:start w:val="1"/>
      <w:numFmt w:val="decimal"/>
      <w:lvlText w:val="%1.%2.%3.%4.%5.%6.%7."/>
      <w:lvlJc w:val="left"/>
      <w:pPr>
        <w:ind w:left="3676" w:hanging="1080"/>
      </w:pPr>
    </w:lvl>
    <w:lvl w:ilvl="7">
      <w:start w:val="1"/>
      <w:numFmt w:val="decimal"/>
      <w:lvlText w:val="%1.%2.%3.%4.%5.%6.%7.%8."/>
      <w:lvlJc w:val="left"/>
      <w:pPr>
        <w:ind w:left="4180" w:hanging="1224"/>
      </w:pPr>
    </w:lvl>
    <w:lvl w:ilvl="8">
      <w:start w:val="1"/>
      <w:numFmt w:val="decimal"/>
      <w:lvlText w:val="%1.%2.%3.%4.%5.%6.%7.%8.%9."/>
      <w:lvlJc w:val="left"/>
      <w:pPr>
        <w:ind w:left="4756" w:hanging="1440"/>
      </w:pPr>
    </w:lvl>
  </w:abstractNum>
  <w:abstractNum w:abstractNumId="8" w15:restartNumberingAfterBreak="0">
    <w:nsid w:val="1BD279E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717E64"/>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547573"/>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16650A1"/>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21C08FC"/>
    <w:multiLevelType w:val="multilevel"/>
    <w:tmpl w:val="40E4C6B2"/>
    <w:lvl w:ilvl="0">
      <w:start w:val="1"/>
      <w:numFmt w:val="decimal"/>
      <w:lvlText w:val="%1)"/>
      <w:lvlJc w:val="left"/>
      <w:rPr>
        <w:rFonts w:ascii="Verdana" w:eastAsia="Arial" w:hAnsi="Verdana" w:cs="Arial" w:hint="default"/>
        <w:b w:val="0"/>
        <w:bCs w:val="0"/>
        <w:i w:val="0"/>
        <w:iCs w:val="0"/>
        <w:smallCaps w:val="0"/>
        <w:strike w:val="0"/>
        <w:color w:val="000000"/>
        <w:spacing w:val="0"/>
        <w:w w:val="100"/>
        <w:position w:val="0"/>
        <w:sz w:val="18"/>
        <w:szCs w:val="18"/>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7854CA"/>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C20502A"/>
    <w:multiLevelType w:val="multilevel"/>
    <w:tmpl w:val="6B54DA02"/>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D4844AD"/>
    <w:multiLevelType w:val="multilevel"/>
    <w:tmpl w:val="E4C27D14"/>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6" w15:restartNumberingAfterBreak="0">
    <w:nsid w:val="45923A18"/>
    <w:multiLevelType w:val="multilevel"/>
    <w:tmpl w:val="52304BE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6F27379"/>
    <w:multiLevelType w:val="multilevel"/>
    <w:tmpl w:val="4F9CA142"/>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8" w15:restartNumberingAfterBreak="0">
    <w:nsid w:val="577907ED"/>
    <w:multiLevelType w:val="multilevel"/>
    <w:tmpl w:val="52304BE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B464A25"/>
    <w:multiLevelType w:val="multilevel"/>
    <w:tmpl w:val="65FE4C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11F1551"/>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5E035A"/>
    <w:multiLevelType w:val="multilevel"/>
    <w:tmpl w:val="054A4942"/>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56A360C"/>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5EA515E"/>
    <w:multiLevelType w:val="multilevel"/>
    <w:tmpl w:val="903CBB96"/>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C743B8"/>
    <w:multiLevelType w:val="multilevel"/>
    <w:tmpl w:val="75E6674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53498B"/>
    <w:multiLevelType w:val="multilevel"/>
    <w:tmpl w:val="5F28EF1E"/>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CA63D4A"/>
    <w:multiLevelType w:val="multilevel"/>
    <w:tmpl w:val="EC10B16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lv-LV" w:eastAsia="lv-LV" w:bidi="lv-LV"/>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5628D5"/>
    <w:multiLevelType w:val="multilevel"/>
    <w:tmpl w:val="A406FC3E"/>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1516967345">
    <w:abstractNumId w:val="8"/>
  </w:num>
  <w:num w:numId="2" w16cid:durableId="1445616845">
    <w:abstractNumId w:val="5"/>
  </w:num>
  <w:num w:numId="3" w16cid:durableId="2077900608">
    <w:abstractNumId w:val="10"/>
  </w:num>
  <w:num w:numId="4" w16cid:durableId="686639278">
    <w:abstractNumId w:val="11"/>
  </w:num>
  <w:num w:numId="5" w16cid:durableId="1900089107">
    <w:abstractNumId w:val="22"/>
  </w:num>
  <w:num w:numId="6" w16cid:durableId="141041856">
    <w:abstractNumId w:val="21"/>
  </w:num>
  <w:num w:numId="7" w16cid:durableId="227573317">
    <w:abstractNumId w:val="13"/>
  </w:num>
  <w:num w:numId="8" w16cid:durableId="1617520844">
    <w:abstractNumId w:val="3"/>
  </w:num>
  <w:num w:numId="9" w16cid:durableId="937719660">
    <w:abstractNumId w:val="14"/>
  </w:num>
  <w:num w:numId="10" w16cid:durableId="800344387">
    <w:abstractNumId w:val="6"/>
  </w:num>
  <w:num w:numId="11" w16cid:durableId="1601184391">
    <w:abstractNumId w:val="0"/>
  </w:num>
  <w:num w:numId="12" w16cid:durableId="1148865431">
    <w:abstractNumId w:val="16"/>
  </w:num>
  <w:num w:numId="13" w16cid:durableId="812211768">
    <w:abstractNumId w:val="18"/>
  </w:num>
  <w:num w:numId="14" w16cid:durableId="1106265294">
    <w:abstractNumId w:val="2"/>
  </w:num>
  <w:num w:numId="15" w16cid:durableId="1200823526">
    <w:abstractNumId w:val="25"/>
  </w:num>
  <w:num w:numId="16" w16cid:durableId="146360853">
    <w:abstractNumId w:val="20"/>
  </w:num>
  <w:num w:numId="17" w16cid:durableId="136846260">
    <w:abstractNumId w:val="15"/>
  </w:num>
  <w:num w:numId="18" w16cid:durableId="2108573808">
    <w:abstractNumId w:val="26"/>
  </w:num>
  <w:num w:numId="19" w16cid:durableId="1046837659">
    <w:abstractNumId w:val="12"/>
  </w:num>
  <w:num w:numId="20" w16cid:durableId="635919085">
    <w:abstractNumId w:val="9"/>
  </w:num>
  <w:num w:numId="21" w16cid:durableId="1986280934">
    <w:abstractNumId w:val="23"/>
  </w:num>
  <w:num w:numId="22" w16cid:durableId="1763144851">
    <w:abstractNumId w:val="24"/>
  </w:num>
  <w:num w:numId="23" w16cid:durableId="201214697">
    <w:abstractNumId w:val="4"/>
  </w:num>
  <w:num w:numId="24" w16cid:durableId="2071266032">
    <w:abstractNumId w:val="17"/>
  </w:num>
  <w:num w:numId="25" w16cid:durableId="758452130">
    <w:abstractNumId w:val="19"/>
  </w:num>
  <w:num w:numId="26" w16cid:durableId="2057467462">
    <w:abstractNumId w:val="7"/>
  </w:num>
  <w:num w:numId="27" w16cid:durableId="794064792">
    <w:abstractNumId w:val="1"/>
  </w:num>
  <w:num w:numId="28" w16cid:durableId="5120638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53"/>
    <w:rsid w:val="000063B5"/>
    <w:rsid w:val="00007600"/>
    <w:rsid w:val="00056B70"/>
    <w:rsid w:val="00073A41"/>
    <w:rsid w:val="00086538"/>
    <w:rsid w:val="000B1288"/>
    <w:rsid w:val="000D5250"/>
    <w:rsid w:val="000E3516"/>
    <w:rsid w:val="000F1A0B"/>
    <w:rsid w:val="00124000"/>
    <w:rsid w:val="00134863"/>
    <w:rsid w:val="00137AE6"/>
    <w:rsid w:val="00190C85"/>
    <w:rsid w:val="00194866"/>
    <w:rsid w:val="001A28BA"/>
    <w:rsid w:val="00225B17"/>
    <w:rsid w:val="00242A10"/>
    <w:rsid w:val="00247B81"/>
    <w:rsid w:val="00270A48"/>
    <w:rsid w:val="002922F3"/>
    <w:rsid w:val="00292C50"/>
    <w:rsid w:val="002B6E4E"/>
    <w:rsid w:val="002B7A7E"/>
    <w:rsid w:val="00311294"/>
    <w:rsid w:val="00320927"/>
    <w:rsid w:val="003378F5"/>
    <w:rsid w:val="00344824"/>
    <w:rsid w:val="00351B09"/>
    <w:rsid w:val="003777F7"/>
    <w:rsid w:val="003864D6"/>
    <w:rsid w:val="003B6623"/>
    <w:rsid w:val="003C5A99"/>
    <w:rsid w:val="003D5AA3"/>
    <w:rsid w:val="003E000F"/>
    <w:rsid w:val="00407FF6"/>
    <w:rsid w:val="00413048"/>
    <w:rsid w:val="004A2B64"/>
    <w:rsid w:val="004B2CA2"/>
    <w:rsid w:val="004D3FA1"/>
    <w:rsid w:val="004F2753"/>
    <w:rsid w:val="0050400B"/>
    <w:rsid w:val="005866DA"/>
    <w:rsid w:val="005978A4"/>
    <w:rsid w:val="005E72C0"/>
    <w:rsid w:val="00625AE6"/>
    <w:rsid w:val="00647C7C"/>
    <w:rsid w:val="0066353D"/>
    <w:rsid w:val="00677B6F"/>
    <w:rsid w:val="006D5BD7"/>
    <w:rsid w:val="006E59F0"/>
    <w:rsid w:val="006F501D"/>
    <w:rsid w:val="007571BC"/>
    <w:rsid w:val="0079194C"/>
    <w:rsid w:val="007941B7"/>
    <w:rsid w:val="007F0283"/>
    <w:rsid w:val="00801CE2"/>
    <w:rsid w:val="00802583"/>
    <w:rsid w:val="008146AF"/>
    <w:rsid w:val="008469AF"/>
    <w:rsid w:val="00872316"/>
    <w:rsid w:val="00904FF6"/>
    <w:rsid w:val="00905BB5"/>
    <w:rsid w:val="00912492"/>
    <w:rsid w:val="009209D1"/>
    <w:rsid w:val="00926049"/>
    <w:rsid w:val="00941A58"/>
    <w:rsid w:val="009D622B"/>
    <w:rsid w:val="009F70B6"/>
    <w:rsid w:val="00A07EC4"/>
    <w:rsid w:val="00A340BC"/>
    <w:rsid w:val="00A369D8"/>
    <w:rsid w:val="00A50B7D"/>
    <w:rsid w:val="00AC1B31"/>
    <w:rsid w:val="00AD5843"/>
    <w:rsid w:val="00AF3B68"/>
    <w:rsid w:val="00B63822"/>
    <w:rsid w:val="00C104B1"/>
    <w:rsid w:val="00C10D8F"/>
    <w:rsid w:val="00C33718"/>
    <w:rsid w:val="00C412A6"/>
    <w:rsid w:val="00CA086C"/>
    <w:rsid w:val="00CA0CEE"/>
    <w:rsid w:val="00CA523D"/>
    <w:rsid w:val="00CD454E"/>
    <w:rsid w:val="00D00E59"/>
    <w:rsid w:val="00D03390"/>
    <w:rsid w:val="00D418E5"/>
    <w:rsid w:val="00D832A9"/>
    <w:rsid w:val="00D918F5"/>
    <w:rsid w:val="00DD3866"/>
    <w:rsid w:val="00DD3FB1"/>
    <w:rsid w:val="00E04894"/>
    <w:rsid w:val="00E212A0"/>
    <w:rsid w:val="00E34021"/>
    <w:rsid w:val="00E41665"/>
    <w:rsid w:val="00E51E5A"/>
    <w:rsid w:val="00E733FC"/>
    <w:rsid w:val="00EE68CF"/>
    <w:rsid w:val="00F271F9"/>
    <w:rsid w:val="00F47DF2"/>
    <w:rsid w:val="00F6575B"/>
    <w:rsid w:val="00F84A1C"/>
    <w:rsid w:val="00FD6B52"/>
    <w:rsid w:val="00FD7715"/>
    <w:rsid w:val="00FF17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3E4D"/>
  <w15:chartTrackingRefBased/>
  <w15:docId w15:val="{475DE6F4-49EE-4406-A1A6-85EBFB6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753"/>
    <w:pPr>
      <w:spacing w:after="0" w:line="240" w:lineRule="auto"/>
    </w:pPr>
    <w:rPr>
      <w:rFonts w:ascii="Verdana" w:eastAsiaTheme="minorEastAsia" w:hAnsi="Verdana" w:cstheme="minorHAnsi"/>
      <w:kern w:val="0"/>
      <w:sz w:val="18"/>
      <w:szCs w:val="20"/>
      <w:lang w:val="en-GB" w:eastAsia="zh-TW"/>
      <w14:ligatures w14:val="none"/>
    </w:rPr>
  </w:style>
  <w:style w:type="paragraph" w:styleId="Heading1">
    <w:name w:val="heading 1"/>
    <w:basedOn w:val="Normal"/>
    <w:next w:val="Normal"/>
    <w:link w:val="Heading1Char"/>
    <w:qFormat/>
    <w:rsid w:val="004F2753"/>
    <w:pPr>
      <w:keepNext/>
      <w:jc w:val="center"/>
      <w:outlineLvl w:val="0"/>
    </w:pPr>
    <w:rPr>
      <w:rFonts w:ascii="Times New Roman" w:eastAsia="Times New Roman" w:hAnsi="Times New Roman" w:cs="Times New Roman"/>
      <w:b/>
      <w:bCs/>
      <w:sz w:val="24"/>
      <w:szCs w:val="24"/>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753"/>
    <w:rPr>
      <w:rFonts w:ascii="Times New Roman" w:eastAsia="Times New Roman" w:hAnsi="Times New Roman" w:cs="Times New Roman"/>
      <w:b/>
      <w:bCs/>
      <w:kern w:val="0"/>
      <w:sz w:val="24"/>
      <w:szCs w:val="24"/>
      <w14:ligatures w14:val="none"/>
    </w:rPr>
  </w:style>
  <w:style w:type="table" w:styleId="TableGrid">
    <w:name w:val="Table Grid"/>
    <w:basedOn w:val="TableNormal"/>
    <w:uiPriority w:val="59"/>
    <w:rsid w:val="004F2753"/>
    <w:pPr>
      <w:spacing w:after="0" w:line="240" w:lineRule="auto"/>
    </w:pPr>
    <w:rPr>
      <w:rFonts w:ascii="Verdana" w:eastAsiaTheme="minorEastAsia" w:hAnsi="Verdana" w:cstheme="minorHAnsi"/>
      <w:kern w:val="0"/>
      <w:sz w:val="18"/>
      <w:szCs w:val="20"/>
      <w:lang w:val="en-US" w:eastAsia="zh-TW"/>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2753"/>
    <w:pPr>
      <w:jc w:val="center"/>
    </w:pPr>
    <w:rPr>
      <w:rFonts w:ascii="Times New Roman" w:eastAsia="Times New Roman" w:hAnsi="Times New Roman" w:cs="Times New Roman"/>
      <w:b/>
      <w:sz w:val="24"/>
      <w:lang w:val="lv-LV" w:eastAsia="en-US"/>
    </w:rPr>
  </w:style>
  <w:style w:type="character" w:customStyle="1" w:styleId="TitleChar">
    <w:name w:val="Title Char"/>
    <w:basedOn w:val="DefaultParagraphFont"/>
    <w:link w:val="Title"/>
    <w:rsid w:val="004F2753"/>
    <w:rPr>
      <w:rFonts w:ascii="Times New Roman" w:eastAsia="Times New Roman" w:hAnsi="Times New Roman" w:cs="Times New Roman"/>
      <w:b/>
      <w:kern w:val="0"/>
      <w:sz w:val="24"/>
      <w:szCs w:val="20"/>
      <w14:ligatures w14:val="none"/>
    </w:rPr>
  </w:style>
  <w:style w:type="character" w:customStyle="1" w:styleId="FontStyle14">
    <w:name w:val="Font Style14"/>
    <w:rsid w:val="004F2753"/>
    <w:rPr>
      <w:rFonts w:ascii="Times New Roman" w:hAnsi="Times New Roman" w:cs="Times New Roman"/>
      <w:sz w:val="22"/>
      <w:szCs w:val="22"/>
    </w:rPr>
  </w:style>
  <w:style w:type="paragraph" w:customStyle="1" w:styleId="Style6">
    <w:name w:val="Style6"/>
    <w:basedOn w:val="Normal"/>
    <w:rsid w:val="004F2753"/>
    <w:pPr>
      <w:widowControl w:val="0"/>
      <w:autoSpaceDE w:val="0"/>
      <w:autoSpaceDN w:val="0"/>
      <w:adjustRightInd w:val="0"/>
      <w:spacing w:line="262" w:lineRule="exact"/>
      <w:ind w:hanging="398"/>
    </w:pPr>
    <w:rPr>
      <w:rFonts w:ascii="Arial Unicode MS" w:eastAsia="Arial Unicode MS" w:hAnsi="Times New Roman" w:cs="Times New Roman"/>
      <w:sz w:val="24"/>
      <w:szCs w:val="24"/>
      <w:lang w:val="lv-LV" w:eastAsia="lv-LV"/>
    </w:rPr>
  </w:style>
  <w:style w:type="paragraph" w:styleId="Footer">
    <w:name w:val="footer"/>
    <w:basedOn w:val="Normal"/>
    <w:link w:val="FooterChar"/>
    <w:uiPriority w:val="99"/>
    <w:unhideWhenUsed/>
    <w:rsid w:val="004F2753"/>
    <w:pPr>
      <w:tabs>
        <w:tab w:val="center" w:pos="4513"/>
        <w:tab w:val="right" w:pos="9026"/>
      </w:tabs>
    </w:pPr>
  </w:style>
  <w:style w:type="character" w:customStyle="1" w:styleId="FooterChar">
    <w:name w:val="Footer Char"/>
    <w:basedOn w:val="DefaultParagraphFont"/>
    <w:link w:val="Footer"/>
    <w:uiPriority w:val="99"/>
    <w:rsid w:val="004F2753"/>
    <w:rPr>
      <w:rFonts w:ascii="Verdana" w:eastAsiaTheme="minorEastAsia" w:hAnsi="Verdana" w:cstheme="minorHAnsi"/>
      <w:kern w:val="0"/>
      <w:sz w:val="18"/>
      <w:szCs w:val="20"/>
      <w:lang w:val="en-GB" w:eastAsia="zh-TW"/>
      <w14:ligatures w14:val="none"/>
    </w:rPr>
  </w:style>
  <w:style w:type="character" w:customStyle="1" w:styleId="rynqvb">
    <w:name w:val="rynqvb"/>
    <w:basedOn w:val="DefaultParagraphFont"/>
    <w:rsid w:val="004F2753"/>
  </w:style>
  <w:style w:type="character" w:customStyle="1" w:styleId="hwtze">
    <w:name w:val="hwtze"/>
    <w:basedOn w:val="DefaultParagraphFont"/>
    <w:rsid w:val="004F2753"/>
  </w:style>
  <w:style w:type="paragraph" w:styleId="ListParagraph">
    <w:name w:val="List Paragraph"/>
    <w:basedOn w:val="Normal"/>
    <w:uiPriority w:val="34"/>
    <w:qFormat/>
    <w:rsid w:val="00247B81"/>
    <w:pPr>
      <w:ind w:left="720"/>
      <w:contextualSpacing/>
    </w:pPr>
  </w:style>
  <w:style w:type="character" w:customStyle="1" w:styleId="BodyTextChar">
    <w:name w:val="Body Text Char"/>
    <w:basedOn w:val="DefaultParagraphFont"/>
    <w:link w:val="BodyText"/>
    <w:rsid w:val="00247B81"/>
    <w:rPr>
      <w:rFonts w:ascii="Arial" w:eastAsia="Arial" w:hAnsi="Arial" w:cs="Arial"/>
      <w:sz w:val="20"/>
      <w:szCs w:val="20"/>
      <w:shd w:val="clear" w:color="auto" w:fill="FFFFFF"/>
    </w:rPr>
  </w:style>
  <w:style w:type="character" w:customStyle="1" w:styleId="Heading10">
    <w:name w:val="Heading #1_"/>
    <w:basedOn w:val="DefaultParagraphFont"/>
    <w:link w:val="Heading11"/>
    <w:rsid w:val="00247B81"/>
    <w:rPr>
      <w:rFonts w:ascii="Arial" w:eastAsia="Arial" w:hAnsi="Arial" w:cs="Arial"/>
      <w:b/>
      <w:bCs/>
      <w:sz w:val="20"/>
      <w:szCs w:val="20"/>
      <w:shd w:val="clear" w:color="auto" w:fill="FFFFFF"/>
    </w:rPr>
  </w:style>
  <w:style w:type="paragraph" w:styleId="BodyText">
    <w:name w:val="Body Text"/>
    <w:basedOn w:val="Normal"/>
    <w:link w:val="BodyTextChar"/>
    <w:qFormat/>
    <w:rsid w:val="00247B81"/>
    <w:pPr>
      <w:widowControl w:val="0"/>
      <w:shd w:val="clear" w:color="auto" w:fill="FFFFFF"/>
      <w:spacing w:after="220"/>
    </w:pPr>
    <w:rPr>
      <w:rFonts w:ascii="Arial" w:eastAsia="Arial" w:hAnsi="Arial" w:cs="Arial"/>
      <w:kern w:val="2"/>
      <w:sz w:val="20"/>
      <w:lang w:val="lv-LV" w:eastAsia="en-US"/>
      <w14:ligatures w14:val="standardContextual"/>
    </w:rPr>
  </w:style>
  <w:style w:type="character" w:customStyle="1" w:styleId="BodyTextChar1">
    <w:name w:val="Body Text Char1"/>
    <w:basedOn w:val="DefaultParagraphFont"/>
    <w:uiPriority w:val="99"/>
    <w:semiHidden/>
    <w:rsid w:val="00247B81"/>
    <w:rPr>
      <w:rFonts w:ascii="Verdana" w:eastAsiaTheme="minorEastAsia" w:hAnsi="Verdana" w:cstheme="minorHAnsi"/>
      <w:kern w:val="0"/>
      <w:sz w:val="18"/>
      <w:szCs w:val="20"/>
      <w:lang w:val="en-GB" w:eastAsia="zh-TW"/>
      <w14:ligatures w14:val="none"/>
    </w:rPr>
  </w:style>
  <w:style w:type="paragraph" w:customStyle="1" w:styleId="Heading11">
    <w:name w:val="Heading #1"/>
    <w:basedOn w:val="Normal"/>
    <w:link w:val="Heading10"/>
    <w:rsid w:val="00247B81"/>
    <w:pPr>
      <w:widowControl w:val="0"/>
      <w:shd w:val="clear" w:color="auto" w:fill="FFFFFF"/>
      <w:spacing w:after="220"/>
      <w:ind w:left="440" w:hanging="440"/>
      <w:outlineLvl w:val="0"/>
    </w:pPr>
    <w:rPr>
      <w:rFonts w:ascii="Arial" w:eastAsia="Arial" w:hAnsi="Arial" w:cs="Arial"/>
      <w:b/>
      <w:bCs/>
      <w:kern w:val="2"/>
      <w:sz w:val="20"/>
      <w:lang w:val="lv-LV"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9545">
      <w:bodyDiv w:val="1"/>
      <w:marLeft w:val="0"/>
      <w:marRight w:val="0"/>
      <w:marTop w:val="0"/>
      <w:marBottom w:val="0"/>
      <w:divBdr>
        <w:top w:val="none" w:sz="0" w:space="0" w:color="auto"/>
        <w:left w:val="none" w:sz="0" w:space="0" w:color="auto"/>
        <w:bottom w:val="none" w:sz="0" w:space="0" w:color="auto"/>
        <w:right w:val="none" w:sz="0" w:space="0" w:color="auto"/>
      </w:divBdr>
      <w:divsChild>
        <w:div w:id="1460605533">
          <w:marLeft w:val="0"/>
          <w:marRight w:val="0"/>
          <w:marTop w:val="0"/>
          <w:marBottom w:val="0"/>
          <w:divBdr>
            <w:top w:val="none" w:sz="0" w:space="0" w:color="auto"/>
            <w:left w:val="none" w:sz="0" w:space="0" w:color="auto"/>
            <w:bottom w:val="none" w:sz="0" w:space="0" w:color="auto"/>
            <w:right w:val="none" w:sz="0" w:space="0" w:color="auto"/>
          </w:divBdr>
        </w:div>
      </w:divsChild>
    </w:div>
    <w:div w:id="1411150099">
      <w:bodyDiv w:val="1"/>
      <w:marLeft w:val="0"/>
      <w:marRight w:val="0"/>
      <w:marTop w:val="0"/>
      <w:marBottom w:val="0"/>
      <w:divBdr>
        <w:top w:val="none" w:sz="0" w:space="0" w:color="auto"/>
        <w:left w:val="none" w:sz="0" w:space="0" w:color="auto"/>
        <w:bottom w:val="none" w:sz="0" w:space="0" w:color="auto"/>
        <w:right w:val="none" w:sz="0" w:space="0" w:color="auto"/>
      </w:divBdr>
      <w:divsChild>
        <w:div w:id="183009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9231</Words>
  <Characters>5263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Ignatavičute | Eversheds Sutherland</dc:creator>
  <cp:keywords/>
  <dc:description/>
  <cp:lastModifiedBy>Justīne Ignatavičute | Eversheds Sutherland</cp:lastModifiedBy>
  <cp:revision>97</cp:revision>
  <cp:lastPrinted>2023-05-25T10:17:00Z</cp:lastPrinted>
  <dcterms:created xsi:type="dcterms:W3CDTF">2023-05-24T07:59:00Z</dcterms:created>
  <dcterms:modified xsi:type="dcterms:W3CDTF">2023-05-25T10:44:00Z</dcterms:modified>
</cp:coreProperties>
</file>