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ED8322" w14:textId="28DFA9CF" w:rsidR="0095717D" w:rsidRPr="004632A4" w:rsidRDefault="00C273EE" w:rsidP="00613E0D">
      <w:pPr>
        <w:pStyle w:val="NoSpacing"/>
        <w:jc w:val="right"/>
        <w:rPr>
          <w:rFonts w:ascii="Tahoma" w:hAnsi="Tahoma" w:cs="Tahoma"/>
          <w:sz w:val="20"/>
          <w:szCs w:val="20"/>
          <w:lang w:val="en-GB"/>
        </w:rPr>
      </w:pPr>
      <w:r w:rsidRPr="004632A4">
        <w:rPr>
          <w:rFonts w:ascii="Tahoma" w:hAnsi="Tahoma" w:cs="Tahoma"/>
          <w:sz w:val="20"/>
          <w:szCs w:val="20"/>
          <w:lang w:val="en-GB"/>
        </w:rPr>
        <w:t>PRESS RELEASE</w:t>
      </w:r>
    </w:p>
    <w:p w14:paraId="186E6D78" w14:textId="6719C204" w:rsidR="000800FB" w:rsidRPr="004632A4" w:rsidRDefault="00B03548" w:rsidP="00613E0D">
      <w:pPr>
        <w:pStyle w:val="NoSpacing"/>
        <w:jc w:val="right"/>
        <w:rPr>
          <w:rFonts w:ascii="Tahoma" w:hAnsi="Tahoma" w:cs="Tahoma"/>
          <w:sz w:val="20"/>
          <w:szCs w:val="20"/>
          <w:lang w:val="en-GB"/>
        </w:rPr>
      </w:pPr>
      <w:r>
        <w:rPr>
          <w:rFonts w:ascii="Tahoma" w:hAnsi="Tahoma" w:cs="Tahoma"/>
          <w:sz w:val="20"/>
          <w:szCs w:val="20"/>
          <w:lang w:val="en-GB"/>
        </w:rPr>
        <w:t>20</w:t>
      </w:r>
      <w:r w:rsidR="00C273EE" w:rsidRPr="004632A4">
        <w:rPr>
          <w:rFonts w:ascii="Tahoma" w:hAnsi="Tahoma" w:cs="Tahoma"/>
          <w:sz w:val="20"/>
          <w:szCs w:val="20"/>
          <w:lang w:val="en-GB"/>
        </w:rPr>
        <w:t xml:space="preserve"> August </w:t>
      </w:r>
      <w:r w:rsidR="00EF5F3C" w:rsidRPr="004632A4">
        <w:rPr>
          <w:rFonts w:ascii="Tahoma" w:hAnsi="Tahoma" w:cs="Tahoma"/>
          <w:sz w:val="20"/>
          <w:szCs w:val="20"/>
          <w:lang w:val="en-GB"/>
        </w:rPr>
        <w:t>20</w:t>
      </w:r>
      <w:r w:rsidR="002A6F3B" w:rsidRPr="004632A4">
        <w:rPr>
          <w:rFonts w:ascii="Tahoma" w:hAnsi="Tahoma" w:cs="Tahoma"/>
          <w:sz w:val="20"/>
          <w:szCs w:val="20"/>
          <w:lang w:val="en-GB"/>
        </w:rPr>
        <w:t>2</w:t>
      </w:r>
      <w:r w:rsidR="00920FC2" w:rsidRPr="004632A4">
        <w:rPr>
          <w:rFonts w:ascii="Tahoma" w:hAnsi="Tahoma" w:cs="Tahoma"/>
          <w:sz w:val="20"/>
          <w:szCs w:val="20"/>
          <w:lang w:val="en-GB"/>
        </w:rPr>
        <w:t>4</w:t>
      </w:r>
    </w:p>
    <w:p w14:paraId="60C8F4B9" w14:textId="77777777" w:rsidR="008653B8" w:rsidRPr="004632A4" w:rsidRDefault="008653B8" w:rsidP="00FE5322">
      <w:pPr>
        <w:pStyle w:val="NoSpacing"/>
        <w:jc w:val="both"/>
        <w:rPr>
          <w:rFonts w:ascii="Tahoma" w:hAnsi="Tahoma" w:cs="Tahoma"/>
          <w:sz w:val="20"/>
          <w:szCs w:val="20"/>
          <w:lang w:val="en-GB"/>
        </w:rPr>
      </w:pPr>
    </w:p>
    <w:p w14:paraId="58F95AD2" w14:textId="77777777" w:rsidR="00A5131C" w:rsidRPr="004632A4" w:rsidRDefault="00A5131C" w:rsidP="00A5131C">
      <w:pPr>
        <w:pStyle w:val="NoSpacing"/>
        <w:jc w:val="both"/>
        <w:rPr>
          <w:rFonts w:ascii="Tahoma" w:hAnsi="Tahoma" w:cs="Tahoma"/>
          <w:b/>
          <w:bCs/>
          <w:sz w:val="24"/>
          <w:szCs w:val="24"/>
          <w:lang w:val="en-GB"/>
        </w:rPr>
      </w:pPr>
      <w:r w:rsidRPr="004632A4">
        <w:rPr>
          <w:rFonts w:ascii="Tahoma" w:hAnsi="Tahoma" w:cs="Tahoma"/>
          <w:b/>
          <w:bCs/>
          <w:sz w:val="24"/>
          <w:szCs w:val="24"/>
          <w:lang w:val="en-GB"/>
        </w:rPr>
        <w:t>Half-year results of the EPSO-G group: investments and adjusted profitability indicators grew</w:t>
      </w:r>
    </w:p>
    <w:p w14:paraId="711E0879" w14:textId="77777777" w:rsidR="00A5131C" w:rsidRPr="004632A4" w:rsidRDefault="00A5131C" w:rsidP="00A5131C">
      <w:pPr>
        <w:pStyle w:val="NoSpacing"/>
        <w:jc w:val="both"/>
        <w:rPr>
          <w:rFonts w:ascii="Tahoma" w:hAnsi="Tahoma" w:cs="Tahoma"/>
          <w:color w:val="0D0D0D" w:themeColor="text1" w:themeTint="F2"/>
          <w:lang w:val="en-GB"/>
        </w:rPr>
      </w:pPr>
    </w:p>
    <w:p w14:paraId="2837F029" w14:textId="77777777" w:rsidR="00A5131C" w:rsidRPr="004632A4" w:rsidRDefault="00A5131C" w:rsidP="00A5131C">
      <w:pPr>
        <w:pStyle w:val="NoSpacing"/>
        <w:jc w:val="both"/>
        <w:rPr>
          <w:rFonts w:ascii="Tahoma" w:hAnsi="Tahoma" w:cs="Tahoma"/>
          <w:b/>
          <w:bCs/>
          <w:color w:val="0D0D0D" w:themeColor="text1" w:themeTint="F2"/>
          <w:lang w:val="en-GB"/>
        </w:rPr>
      </w:pPr>
      <w:r w:rsidRPr="004632A4">
        <w:rPr>
          <w:rFonts w:ascii="Tahoma" w:hAnsi="Tahoma" w:cs="Tahoma"/>
          <w:b/>
          <w:bCs/>
          <w:color w:val="0D0D0D" w:themeColor="text1" w:themeTint="F2"/>
          <w:lang w:val="en-GB"/>
        </w:rPr>
        <w:t xml:space="preserve">In the first half of this year, the EPSO-G group of energy transmission and exchange companies allocated almost 18 percent more investments to projects which strengthen Lithuania's energy independence. In January-June this year, compared to the same period in 2023, the adjusted profitability indicators improved. </w:t>
      </w:r>
    </w:p>
    <w:p w14:paraId="05052572" w14:textId="77777777" w:rsidR="00A5131C" w:rsidRPr="004632A4" w:rsidRDefault="00A5131C" w:rsidP="00A5131C">
      <w:pPr>
        <w:pStyle w:val="NoSpacing"/>
        <w:jc w:val="both"/>
        <w:rPr>
          <w:rFonts w:ascii="Tahoma" w:hAnsi="Tahoma" w:cs="Tahoma"/>
          <w:b/>
          <w:bCs/>
          <w:color w:val="0D0D0D" w:themeColor="text1" w:themeTint="F2"/>
          <w:lang w:val="en-GB"/>
        </w:rPr>
      </w:pPr>
    </w:p>
    <w:p w14:paraId="317A4402" w14:textId="77777777" w:rsidR="00A5131C" w:rsidRPr="004632A4" w:rsidRDefault="00A5131C" w:rsidP="00A5131C">
      <w:pPr>
        <w:pStyle w:val="NoSpacing"/>
        <w:jc w:val="both"/>
        <w:rPr>
          <w:rFonts w:ascii="Tahoma" w:hAnsi="Tahoma" w:cs="Tahoma"/>
          <w:color w:val="0D0D0D" w:themeColor="text1" w:themeTint="F2"/>
          <w:lang w:val="en-GB"/>
        </w:rPr>
      </w:pPr>
      <w:r w:rsidRPr="004632A4">
        <w:rPr>
          <w:rFonts w:ascii="Tahoma" w:hAnsi="Tahoma" w:cs="Tahoma"/>
          <w:color w:val="0D0D0D" w:themeColor="text1" w:themeTint="F2"/>
          <w:lang w:val="en-GB"/>
        </w:rPr>
        <w:t xml:space="preserve">"The group allocates record breaking investments for Lithuania's energy independence. At the same time, we maintain a sustainable growth in adjusted financial indicators. Special attention is focused on program of synchronization with continental European networks </w:t>
      </w:r>
      <w:r>
        <w:rPr>
          <w:rFonts w:ascii="Tahoma" w:hAnsi="Tahoma" w:cs="Tahoma"/>
          <w:color w:val="0D0D0D" w:themeColor="text1" w:themeTint="F2"/>
          <w:lang w:val="en-GB"/>
        </w:rPr>
        <w:t>–</w:t>
      </w:r>
      <w:r w:rsidRPr="004632A4">
        <w:rPr>
          <w:rFonts w:ascii="Tahoma" w:hAnsi="Tahoma" w:cs="Tahoma"/>
          <w:color w:val="0D0D0D" w:themeColor="text1" w:themeTint="F2"/>
          <w:lang w:val="en-GB"/>
        </w:rPr>
        <w:t xml:space="preserve"> next February a historic moment awaits the </w:t>
      </w:r>
      <w:r>
        <w:rPr>
          <w:rFonts w:ascii="Tahoma" w:hAnsi="Tahoma" w:cs="Tahoma"/>
          <w:color w:val="0D0D0D" w:themeColor="text1" w:themeTint="F2"/>
          <w:lang w:val="en-GB"/>
        </w:rPr>
        <w:t>Lithuania</w:t>
      </w:r>
      <w:r w:rsidRPr="004632A4">
        <w:rPr>
          <w:rFonts w:ascii="Tahoma" w:hAnsi="Tahoma" w:cs="Tahoma"/>
          <w:color w:val="0D0D0D" w:themeColor="text1" w:themeTint="F2"/>
          <w:lang w:val="en-GB"/>
        </w:rPr>
        <w:t xml:space="preserve">‘s energy sector. Also, with growing volumes of renewable energy projects, the group modernises the transmission systems, and together with the partners of the Baltic Sea region continues to intensively prepare for the development of hydrogen infrastructure", – Mindaugas Keizeris, </w:t>
      </w:r>
      <w:r>
        <w:rPr>
          <w:rFonts w:ascii="Tahoma" w:hAnsi="Tahoma" w:cs="Tahoma"/>
          <w:color w:val="0D0D0D" w:themeColor="text1" w:themeTint="F2"/>
          <w:lang w:val="en-GB"/>
        </w:rPr>
        <w:t>CEO</w:t>
      </w:r>
      <w:r w:rsidRPr="004632A4">
        <w:rPr>
          <w:rFonts w:ascii="Tahoma" w:hAnsi="Tahoma" w:cs="Tahoma"/>
          <w:color w:val="0D0D0D" w:themeColor="text1" w:themeTint="F2"/>
          <w:lang w:val="en-GB"/>
        </w:rPr>
        <w:t xml:space="preserve"> of EPSO-G, said.</w:t>
      </w:r>
    </w:p>
    <w:p w14:paraId="3A8FC00B" w14:textId="77777777" w:rsidR="00A5131C" w:rsidRPr="004632A4" w:rsidRDefault="00A5131C" w:rsidP="00A5131C">
      <w:pPr>
        <w:pStyle w:val="NoSpacing"/>
        <w:jc w:val="both"/>
        <w:rPr>
          <w:rFonts w:ascii="Tahoma" w:hAnsi="Tahoma" w:cs="Tahoma"/>
          <w:color w:val="0D0D0D" w:themeColor="text1" w:themeTint="F2"/>
          <w:lang w:val="en-GB"/>
        </w:rPr>
      </w:pPr>
    </w:p>
    <w:p w14:paraId="37C72C21" w14:textId="77777777" w:rsidR="00A5131C" w:rsidRPr="00D612E4" w:rsidRDefault="00A5131C" w:rsidP="00A5131C">
      <w:pPr>
        <w:pStyle w:val="NoSpacing"/>
        <w:jc w:val="both"/>
        <w:rPr>
          <w:rFonts w:ascii="Tahoma" w:hAnsi="Tahoma" w:cs="Tahoma"/>
          <w:color w:val="0D0D0D" w:themeColor="text1" w:themeTint="F2"/>
          <w:lang w:val="en-GB"/>
        </w:rPr>
      </w:pPr>
      <w:r w:rsidRPr="6540A7B0">
        <w:rPr>
          <w:rFonts w:ascii="Tahoma" w:hAnsi="Tahoma" w:cs="Tahoma"/>
          <w:color w:val="0D0D0D" w:themeColor="text1" w:themeTint="F2"/>
          <w:lang w:val="en-GB"/>
        </w:rPr>
        <w:t xml:space="preserve">In the first half of this year, the adjusted net profit of the group reached 18.5 million euros and grew 63 percent, whereas in the corresponding period last year the said indicator was 11.4 million euros. In the first half of this year, the adjusted EBITDA (earnings before interest, taxes, depreciation, and amortization) of the EPSO-G group reached 38.4 million euros </w:t>
      </w:r>
      <w:r>
        <w:rPr>
          <w:rFonts w:ascii="Tahoma" w:hAnsi="Tahoma" w:cs="Tahoma"/>
          <w:color w:val="0D0D0D" w:themeColor="text1" w:themeTint="F2"/>
          <w:lang w:val="en-GB"/>
        </w:rPr>
        <w:t>-</w:t>
      </w:r>
      <w:r w:rsidRPr="6540A7B0">
        <w:rPr>
          <w:rFonts w:ascii="Tahoma" w:hAnsi="Tahoma" w:cs="Tahoma"/>
          <w:color w:val="0D0D0D" w:themeColor="text1" w:themeTint="F2"/>
          <w:lang w:val="en-GB"/>
        </w:rPr>
        <w:t xml:space="preserve"> 22 percent higher compared to the same period in 2023. The unadjusted EBITDA grew by almost 19 percent (from 44.2 million euros to 52.4 million euros), the net profit decreased by almost 4% (from 31.5 million euros to 30.4 million euros). The adjusted indicators, after eliminating temporary regulatory differences, grew due to a higher return on investment due to an increase in the weighted average cost of capital and additional investment financing </w:t>
      </w:r>
      <w:r w:rsidRPr="6C3D25AE">
        <w:rPr>
          <w:rFonts w:ascii="Tahoma" w:hAnsi="Tahoma" w:cs="Tahoma"/>
          <w:color w:val="0D0D0D" w:themeColor="text1" w:themeTint="F2"/>
          <w:lang w:val="en-GB"/>
        </w:rPr>
        <w:t>component for</w:t>
      </w:r>
      <w:r w:rsidRPr="6540A7B0">
        <w:rPr>
          <w:rFonts w:ascii="Tahoma" w:hAnsi="Tahoma" w:cs="Tahoma"/>
          <w:color w:val="0D0D0D" w:themeColor="text1" w:themeTint="F2"/>
          <w:lang w:val="en-GB"/>
        </w:rPr>
        <w:t xml:space="preserve"> the electricity transmission system operator.</w:t>
      </w:r>
    </w:p>
    <w:p w14:paraId="6EF4C86D" w14:textId="77777777" w:rsidR="00A5131C" w:rsidRPr="004632A4" w:rsidRDefault="00A5131C" w:rsidP="00A5131C">
      <w:pPr>
        <w:pStyle w:val="NoSpacing"/>
        <w:jc w:val="both"/>
        <w:rPr>
          <w:rFonts w:ascii="Tahoma" w:hAnsi="Tahoma" w:cs="Tahoma"/>
          <w:color w:val="0D0D0D" w:themeColor="text1" w:themeTint="F2"/>
          <w:lang w:val="en-GB"/>
        </w:rPr>
      </w:pPr>
    </w:p>
    <w:p w14:paraId="3FB9E0A7" w14:textId="77777777" w:rsidR="00A5131C" w:rsidRPr="004632A4" w:rsidRDefault="00A5131C" w:rsidP="00A5131C">
      <w:pPr>
        <w:pStyle w:val="NoSpacing"/>
        <w:jc w:val="both"/>
        <w:rPr>
          <w:rFonts w:ascii="Tahoma" w:hAnsi="Tahoma" w:cs="Tahoma"/>
          <w:color w:val="0D0D0D" w:themeColor="text1" w:themeTint="F2"/>
          <w:lang w:val="en-GB"/>
        </w:rPr>
      </w:pPr>
      <w:r w:rsidRPr="004632A4">
        <w:rPr>
          <w:rFonts w:ascii="Tahoma" w:hAnsi="Tahoma" w:cs="Tahoma"/>
          <w:color w:val="0D0D0D" w:themeColor="text1" w:themeTint="F2"/>
          <w:lang w:val="en-GB"/>
        </w:rPr>
        <w:t xml:space="preserve">In six months of this year, the EPSO-G group‘s infrastructure investments amounted to 94.1 million euros and were almost 18 percent higher than in the corresponding period in 2023. The group‘s company Litgrid allocated the largest share - 90.8 million EUR - of the investment amount for the modernization and development of the electricity transmission system infrastructure. </w:t>
      </w:r>
    </w:p>
    <w:p w14:paraId="58EC459A" w14:textId="77777777" w:rsidR="00A5131C" w:rsidRPr="004632A4" w:rsidRDefault="00A5131C" w:rsidP="00A5131C">
      <w:pPr>
        <w:pStyle w:val="NoSpacing"/>
        <w:jc w:val="both"/>
        <w:rPr>
          <w:rFonts w:ascii="Tahoma" w:hAnsi="Tahoma" w:cs="Tahoma"/>
          <w:color w:val="0D0D0D" w:themeColor="text1" w:themeTint="F2"/>
          <w:lang w:val="en-GB"/>
        </w:rPr>
      </w:pPr>
    </w:p>
    <w:p w14:paraId="7B37041A" w14:textId="77777777" w:rsidR="00A5131C" w:rsidRPr="004632A4" w:rsidRDefault="00A5131C" w:rsidP="00A5131C">
      <w:pPr>
        <w:pStyle w:val="NoSpacing"/>
        <w:jc w:val="both"/>
        <w:rPr>
          <w:rFonts w:ascii="Tahoma" w:hAnsi="Tahoma" w:cs="Tahoma"/>
          <w:color w:val="0D0D0D" w:themeColor="text1" w:themeTint="F2"/>
          <w:lang w:val="en-GB"/>
        </w:rPr>
      </w:pPr>
      <w:r w:rsidRPr="004632A4">
        <w:rPr>
          <w:rFonts w:ascii="Tahoma" w:hAnsi="Tahoma" w:cs="Tahoma"/>
          <w:color w:val="0D0D0D" w:themeColor="text1" w:themeTint="F2"/>
          <w:lang w:val="en-GB"/>
        </w:rPr>
        <w:t xml:space="preserve">During the first half of this year, 4.7 terawatt-hours (TWh) of electricity </w:t>
      </w:r>
      <w:r>
        <w:rPr>
          <w:rFonts w:ascii="Tahoma" w:hAnsi="Tahoma" w:cs="Tahoma"/>
          <w:color w:val="0D0D0D" w:themeColor="text1" w:themeTint="F2"/>
          <w:lang w:val="en-GB"/>
        </w:rPr>
        <w:t>–</w:t>
      </w:r>
      <w:r w:rsidRPr="004632A4">
        <w:rPr>
          <w:rFonts w:ascii="Tahoma" w:hAnsi="Tahoma" w:cs="Tahoma"/>
          <w:color w:val="0D0D0D" w:themeColor="text1" w:themeTint="F2"/>
          <w:lang w:val="en-GB"/>
        </w:rPr>
        <w:t xml:space="preserve"> 0.4 percent more compared to the same period last year were transmitted by </w:t>
      </w:r>
      <w:proofErr w:type="spellStart"/>
      <w:r w:rsidRPr="004632A4">
        <w:rPr>
          <w:rFonts w:ascii="Tahoma" w:hAnsi="Tahoma" w:cs="Tahoma"/>
          <w:color w:val="0D0D0D" w:themeColor="text1" w:themeTint="F2"/>
          <w:lang w:val="en-GB"/>
        </w:rPr>
        <w:t>Litgrid‘s</w:t>
      </w:r>
      <w:proofErr w:type="spellEnd"/>
      <w:r w:rsidRPr="004632A4">
        <w:rPr>
          <w:rFonts w:ascii="Tahoma" w:hAnsi="Tahoma" w:cs="Tahoma"/>
          <w:color w:val="0D0D0D" w:themeColor="text1" w:themeTint="F2"/>
          <w:lang w:val="en-GB"/>
        </w:rPr>
        <w:t xml:space="preserve"> high-voltage transmission grids for the needs of the country‘s population and business. </w:t>
      </w:r>
    </w:p>
    <w:p w14:paraId="08A54D83" w14:textId="77777777" w:rsidR="00A5131C" w:rsidRPr="004632A4" w:rsidRDefault="00A5131C" w:rsidP="00A5131C">
      <w:pPr>
        <w:pStyle w:val="NoSpacing"/>
        <w:jc w:val="both"/>
        <w:rPr>
          <w:rFonts w:ascii="Tahoma" w:hAnsi="Tahoma" w:cs="Tahoma"/>
          <w:color w:val="0D0D0D" w:themeColor="text1" w:themeTint="F2"/>
          <w:lang w:val="en-GB"/>
        </w:rPr>
      </w:pPr>
    </w:p>
    <w:p w14:paraId="489B5C01" w14:textId="77777777" w:rsidR="00A5131C" w:rsidRPr="004632A4" w:rsidRDefault="00A5131C" w:rsidP="00A5131C">
      <w:pPr>
        <w:pStyle w:val="NoSpacing"/>
        <w:jc w:val="both"/>
        <w:rPr>
          <w:rFonts w:ascii="Tahoma" w:hAnsi="Tahoma" w:cs="Tahoma"/>
          <w:color w:val="0D0D0D" w:themeColor="text1" w:themeTint="F2"/>
          <w:lang w:val="en-GB"/>
        </w:rPr>
      </w:pPr>
      <w:r w:rsidRPr="004632A4">
        <w:rPr>
          <w:rFonts w:ascii="Tahoma" w:hAnsi="Tahoma" w:cs="Tahoma"/>
          <w:color w:val="0D0D0D" w:themeColor="text1" w:themeTint="F2"/>
          <w:lang w:val="en-GB"/>
        </w:rPr>
        <w:t xml:space="preserve">In the first half of 2024, not counting transit to Königsberg area, Amber Grid transported 13.4 TWh of natural gas to consumers in Lithuania, the Baltic States, Finland and Poland. This is almost 29 percent less than last year at the same time. In January-June 2024, the gas transmission operator transmitted 9.2 TWh of gas to Lithuanian gas consumers or 46 percent more than in the corresponding period in 2023 (6.3 TWh). Gas demand grew due to cooler winter weather, electricity generation and lower gas prices in the market. The latter reason led to higher gas consumption in fertilizer production. </w:t>
      </w:r>
    </w:p>
    <w:p w14:paraId="0B255BCC" w14:textId="77777777" w:rsidR="00A5131C" w:rsidRPr="004632A4" w:rsidRDefault="00A5131C" w:rsidP="00A5131C">
      <w:pPr>
        <w:pStyle w:val="NoSpacing"/>
        <w:jc w:val="both"/>
        <w:rPr>
          <w:rFonts w:ascii="Tahoma" w:hAnsi="Tahoma" w:cs="Tahoma"/>
          <w:color w:val="0D0D0D" w:themeColor="text1" w:themeTint="F2"/>
          <w:lang w:val="en-GB"/>
        </w:rPr>
      </w:pPr>
      <w:bookmarkStart w:id="0" w:name="_Hlk144301012"/>
    </w:p>
    <w:bookmarkEnd w:id="0"/>
    <w:p w14:paraId="333F54E3" w14:textId="77777777" w:rsidR="00A5131C" w:rsidRPr="004632A4" w:rsidRDefault="00A5131C" w:rsidP="00A5131C">
      <w:pPr>
        <w:pStyle w:val="NoSpacing"/>
        <w:jc w:val="both"/>
        <w:rPr>
          <w:rFonts w:ascii="Tahoma" w:hAnsi="Tahoma" w:cs="Tahoma"/>
          <w:color w:val="0D0D0D" w:themeColor="text1" w:themeTint="F2"/>
          <w:lang w:val="en-GB"/>
        </w:rPr>
      </w:pPr>
      <w:r w:rsidRPr="004632A4">
        <w:rPr>
          <w:rFonts w:ascii="Tahoma" w:hAnsi="Tahoma" w:cs="Tahoma"/>
          <w:color w:val="0D0D0D" w:themeColor="text1" w:themeTint="F2"/>
          <w:lang w:val="en-GB"/>
        </w:rPr>
        <w:t>During January-June 2024, Lithuanian and foreign district heating companies, independent heat producers and industrial companies purchased 3.7 TWh of biomass on B</w:t>
      </w:r>
      <w:r>
        <w:rPr>
          <w:rFonts w:ascii="Tahoma" w:hAnsi="Tahoma" w:cs="Tahoma"/>
          <w:color w:val="0D0D0D" w:themeColor="text1" w:themeTint="F2"/>
          <w:lang w:val="en-GB"/>
        </w:rPr>
        <w:t>altpool</w:t>
      </w:r>
      <w:r w:rsidRPr="004632A4">
        <w:rPr>
          <w:rFonts w:ascii="Tahoma" w:hAnsi="Tahoma" w:cs="Tahoma"/>
          <w:color w:val="0D0D0D" w:themeColor="text1" w:themeTint="F2"/>
          <w:lang w:val="en-GB"/>
        </w:rPr>
        <w:t xml:space="preserve"> International Biomass Exchange. This is 1.8 percent less compared to the same period in 2023 when 3.8 TWh of biomass were purchased. </w:t>
      </w:r>
    </w:p>
    <w:p w14:paraId="1FA84FA6" w14:textId="77777777" w:rsidR="00A5131C" w:rsidRPr="004632A4" w:rsidRDefault="00A5131C" w:rsidP="00A5131C">
      <w:pPr>
        <w:pStyle w:val="NoSpacing"/>
        <w:jc w:val="both"/>
        <w:rPr>
          <w:rFonts w:ascii="Tahoma" w:hAnsi="Tahoma" w:cs="Tahoma"/>
          <w:color w:val="0D0D0D" w:themeColor="text1" w:themeTint="F2"/>
          <w:lang w:val="en-GB"/>
        </w:rPr>
      </w:pPr>
    </w:p>
    <w:p w14:paraId="17045C36" w14:textId="77777777" w:rsidR="00A5131C" w:rsidRPr="004632A4" w:rsidRDefault="00A5131C" w:rsidP="00A5131C">
      <w:pPr>
        <w:pStyle w:val="NoSpacing"/>
        <w:jc w:val="both"/>
        <w:rPr>
          <w:rFonts w:ascii="Tahoma" w:hAnsi="Tahoma" w:cs="Tahoma"/>
          <w:color w:val="0D0D0D" w:themeColor="text1" w:themeTint="F2"/>
          <w:lang w:val="en-GB"/>
        </w:rPr>
      </w:pPr>
      <w:r w:rsidRPr="004632A4">
        <w:rPr>
          <w:rFonts w:ascii="Tahoma" w:hAnsi="Tahoma" w:cs="Tahoma"/>
          <w:color w:val="0D0D0D" w:themeColor="text1" w:themeTint="F2"/>
          <w:lang w:val="en-GB"/>
        </w:rPr>
        <w:lastRenderedPageBreak/>
        <w:t>The EPSO-G group of companies consists of the holding company EPSO-G and its six direct subsidiaries Amber Grid, Baltpool, Energy cells, EPSO-G Invest, Litgrid and Tetas. EPSO-G and the Group companies also own shares in GET Baltic, Baltic RCC OÜ and TSO Holding AS. The rights and obligations of the sole shareholder of EPSO-G are implemented by the Ministry of Energy of the Republic of Lithuania.</w:t>
      </w:r>
    </w:p>
    <w:p w14:paraId="030E2557" w14:textId="77777777" w:rsidR="00920FC2" w:rsidRPr="004632A4" w:rsidRDefault="00920FC2" w:rsidP="004053DE">
      <w:pPr>
        <w:pStyle w:val="NoSpacing"/>
        <w:jc w:val="both"/>
        <w:rPr>
          <w:rFonts w:ascii="Tahoma" w:hAnsi="Tahoma" w:cs="Tahoma"/>
          <w:lang w:val="en-GB"/>
        </w:rPr>
      </w:pPr>
    </w:p>
    <w:p w14:paraId="6FA88017" w14:textId="5106A02B" w:rsidR="00386DD4" w:rsidRPr="004632A4" w:rsidRDefault="00FA2FBD" w:rsidP="00386DD4">
      <w:pPr>
        <w:pStyle w:val="NoSpacing"/>
        <w:jc w:val="both"/>
        <w:rPr>
          <w:rFonts w:ascii="Tahoma" w:hAnsi="Tahoma" w:cs="Tahoma"/>
          <w:b/>
          <w:bCs/>
          <w:color w:val="0D0D0D" w:themeColor="text1" w:themeTint="F2"/>
          <w:sz w:val="20"/>
          <w:szCs w:val="20"/>
          <w:lang w:val="en-GB"/>
        </w:rPr>
      </w:pPr>
      <w:r w:rsidRPr="004632A4">
        <w:rPr>
          <w:rFonts w:ascii="Tahoma" w:hAnsi="Tahoma" w:cs="Tahoma"/>
          <w:b/>
          <w:bCs/>
          <w:color w:val="0D0D0D" w:themeColor="text1" w:themeTint="F2"/>
          <w:sz w:val="20"/>
          <w:szCs w:val="20"/>
          <w:lang w:val="en-GB"/>
        </w:rPr>
        <w:t>More information</w:t>
      </w:r>
    </w:p>
    <w:p w14:paraId="2E46F794" w14:textId="562C9351" w:rsidR="00386DD4" w:rsidRPr="004632A4" w:rsidRDefault="002956CC" w:rsidP="00386DD4">
      <w:pPr>
        <w:pStyle w:val="NoSpacing"/>
        <w:jc w:val="both"/>
        <w:rPr>
          <w:rFonts w:ascii="Tahoma" w:hAnsi="Tahoma" w:cs="Tahoma"/>
          <w:color w:val="0D0D0D" w:themeColor="text1" w:themeTint="F2"/>
          <w:sz w:val="20"/>
          <w:szCs w:val="20"/>
          <w:lang w:val="en-GB"/>
        </w:rPr>
      </w:pPr>
      <w:r w:rsidRPr="004632A4">
        <w:rPr>
          <w:rFonts w:ascii="Tahoma" w:hAnsi="Tahoma" w:cs="Tahoma"/>
          <w:color w:val="0D0D0D" w:themeColor="text1" w:themeTint="F2"/>
          <w:sz w:val="20"/>
          <w:szCs w:val="20"/>
          <w:lang w:val="en-GB"/>
        </w:rPr>
        <w:t>Gediminas Petrauskas</w:t>
      </w:r>
      <w:r w:rsidR="00386DD4" w:rsidRPr="004632A4">
        <w:rPr>
          <w:rFonts w:ascii="Tahoma" w:hAnsi="Tahoma" w:cs="Tahoma"/>
          <w:color w:val="0D0D0D" w:themeColor="text1" w:themeTint="F2"/>
          <w:sz w:val="20"/>
          <w:szCs w:val="20"/>
          <w:lang w:val="en-GB"/>
        </w:rPr>
        <w:t xml:space="preserve">, EPSO-G </w:t>
      </w:r>
      <w:r w:rsidR="00FA2FBD" w:rsidRPr="004632A4">
        <w:rPr>
          <w:rFonts w:ascii="Tahoma" w:hAnsi="Tahoma" w:cs="Tahoma"/>
          <w:color w:val="0D0D0D" w:themeColor="text1" w:themeTint="F2"/>
          <w:sz w:val="20"/>
          <w:szCs w:val="20"/>
          <w:lang w:val="en-GB"/>
        </w:rPr>
        <w:t xml:space="preserve">Communication Partner </w:t>
      </w:r>
    </w:p>
    <w:p w14:paraId="4C0BE865" w14:textId="1962F10E" w:rsidR="007C337D" w:rsidRPr="004632A4" w:rsidRDefault="00386DD4" w:rsidP="00FE5322">
      <w:pPr>
        <w:pStyle w:val="NoSpacing"/>
        <w:jc w:val="both"/>
        <w:rPr>
          <w:rStyle w:val="Hyperlink"/>
          <w:rFonts w:ascii="Tahoma" w:hAnsi="Tahoma" w:cs="Tahoma"/>
          <w:sz w:val="20"/>
          <w:szCs w:val="20"/>
          <w:lang w:val="en-GB"/>
        </w:rPr>
      </w:pPr>
      <w:r w:rsidRPr="004632A4">
        <w:rPr>
          <w:rFonts w:ascii="Tahoma" w:hAnsi="Tahoma" w:cs="Tahoma"/>
          <w:color w:val="0D0D0D" w:themeColor="text1" w:themeTint="F2"/>
          <w:sz w:val="20"/>
          <w:szCs w:val="20"/>
          <w:lang w:val="en-GB"/>
        </w:rPr>
        <w:t xml:space="preserve">Tel. </w:t>
      </w:r>
      <w:r w:rsidR="006A6B24" w:rsidRPr="004632A4">
        <w:rPr>
          <w:rFonts w:ascii="Tahoma" w:hAnsi="Tahoma" w:cs="Tahoma"/>
          <w:color w:val="0D0D0D" w:themeColor="text1" w:themeTint="F2"/>
          <w:sz w:val="20"/>
          <w:szCs w:val="20"/>
          <w:lang w:val="en-GB"/>
        </w:rPr>
        <w:t>+370</w:t>
      </w:r>
      <w:r w:rsidR="007C337D" w:rsidRPr="004632A4">
        <w:rPr>
          <w:rFonts w:ascii="Tahoma" w:hAnsi="Tahoma" w:cs="Tahoma"/>
          <w:color w:val="0D0D0D" w:themeColor="text1" w:themeTint="F2"/>
          <w:sz w:val="20"/>
          <w:szCs w:val="20"/>
          <w:lang w:val="en-GB"/>
        </w:rPr>
        <w:t> 610 63306</w:t>
      </w:r>
      <w:r w:rsidRPr="004632A4">
        <w:rPr>
          <w:rFonts w:ascii="Tahoma" w:hAnsi="Tahoma" w:cs="Tahoma"/>
          <w:color w:val="0D0D0D" w:themeColor="text1" w:themeTint="F2"/>
          <w:sz w:val="20"/>
          <w:szCs w:val="20"/>
          <w:lang w:val="en-GB"/>
        </w:rPr>
        <w:t>, e</w:t>
      </w:r>
      <w:r w:rsidR="00FA2FBD" w:rsidRPr="004632A4">
        <w:rPr>
          <w:rFonts w:ascii="Tahoma" w:hAnsi="Tahoma" w:cs="Tahoma"/>
          <w:color w:val="0D0D0D" w:themeColor="text1" w:themeTint="F2"/>
          <w:sz w:val="20"/>
          <w:szCs w:val="20"/>
          <w:lang w:val="en-GB"/>
        </w:rPr>
        <w:t>-mail</w:t>
      </w:r>
      <w:r w:rsidR="007C337D" w:rsidRPr="004632A4">
        <w:rPr>
          <w:rFonts w:ascii="Tahoma" w:hAnsi="Tahoma" w:cs="Tahoma"/>
          <w:color w:val="0D0D0D" w:themeColor="text1" w:themeTint="F2"/>
          <w:sz w:val="20"/>
          <w:szCs w:val="20"/>
          <w:lang w:val="en-GB"/>
        </w:rPr>
        <w:t xml:space="preserve"> </w:t>
      </w:r>
      <w:hyperlink r:id="rId11" w:history="1">
        <w:r w:rsidR="007C337D" w:rsidRPr="004632A4">
          <w:rPr>
            <w:rStyle w:val="Hyperlink"/>
            <w:rFonts w:ascii="Tahoma" w:hAnsi="Tahoma" w:cs="Tahoma"/>
            <w:sz w:val="20"/>
            <w:szCs w:val="20"/>
            <w:lang w:val="en-GB"/>
          </w:rPr>
          <w:t>gediminas.petrauskas@epsog.lt</w:t>
        </w:r>
      </w:hyperlink>
    </w:p>
    <w:p w14:paraId="651E43B3" w14:textId="77777777" w:rsidR="00BC60C4" w:rsidRDefault="00BC60C4" w:rsidP="00FE5322">
      <w:pPr>
        <w:pStyle w:val="NoSpacing"/>
        <w:jc w:val="both"/>
        <w:rPr>
          <w:rStyle w:val="Hyperlink"/>
          <w:rFonts w:ascii="Tahoma" w:hAnsi="Tahoma" w:cs="Tahoma"/>
          <w:lang w:val="en-GB"/>
        </w:rPr>
      </w:pPr>
    </w:p>
    <w:p w14:paraId="4CB64383" w14:textId="77777777" w:rsidR="003A0361" w:rsidRPr="004632A4" w:rsidRDefault="003A0361" w:rsidP="003A0361">
      <w:pPr>
        <w:shd w:val="clear" w:color="auto" w:fill="FFFFFF"/>
        <w:spacing w:before="100" w:beforeAutospacing="1" w:after="100" w:afterAutospacing="1"/>
        <w:jc w:val="both"/>
        <w:rPr>
          <w:rFonts w:ascii="Tahoma" w:eastAsia="Times New Roman" w:hAnsi="Tahoma" w:cs="Tahoma"/>
          <w:b/>
          <w:bCs/>
          <w:color w:val="000000"/>
          <w:sz w:val="24"/>
          <w:szCs w:val="24"/>
          <w:lang w:val="en-GB" w:eastAsia="lt-LT"/>
        </w:rPr>
      </w:pPr>
      <w:r w:rsidRPr="004632A4">
        <w:rPr>
          <w:rFonts w:ascii="Tahoma" w:eastAsia="Times New Roman" w:hAnsi="Tahoma" w:cs="Tahoma"/>
          <w:b/>
          <w:bCs/>
          <w:color w:val="000000"/>
          <w:sz w:val="24"/>
          <w:szCs w:val="24"/>
          <w:lang w:val="en-GB" w:eastAsia="lt-LT"/>
        </w:rPr>
        <w:t>The EPSO-G group of companies announces the consolidated operating results for the first half of 2024</w:t>
      </w:r>
    </w:p>
    <w:p w14:paraId="0748C3AC" w14:textId="77777777" w:rsidR="003A0361" w:rsidRPr="004632A4" w:rsidRDefault="003A0361" w:rsidP="003A0361">
      <w:pPr>
        <w:shd w:val="clear" w:color="auto" w:fill="FFFFFF"/>
        <w:spacing w:before="100" w:beforeAutospacing="1" w:after="100" w:afterAutospacing="1"/>
        <w:jc w:val="both"/>
        <w:rPr>
          <w:rFonts w:ascii="Tahoma" w:eastAsia="Times New Roman" w:hAnsi="Tahoma" w:cs="Tahoma"/>
          <w:color w:val="000000"/>
          <w:lang w:val="en-GB" w:eastAsia="lt-LT"/>
        </w:rPr>
      </w:pPr>
      <w:r w:rsidRPr="004632A4">
        <w:rPr>
          <w:rFonts w:ascii="Tahoma" w:eastAsia="Times New Roman" w:hAnsi="Tahoma" w:cs="Tahoma"/>
          <w:color w:val="000000"/>
          <w:lang w:val="en-GB" w:eastAsia="lt-LT"/>
        </w:rPr>
        <w:t xml:space="preserve">The EPSO-G group of energy transmission and exchange companies (company code 302826889, registered office address </w:t>
      </w:r>
      <w:proofErr w:type="spellStart"/>
      <w:r w:rsidRPr="004632A4">
        <w:rPr>
          <w:rFonts w:ascii="Tahoma" w:eastAsia="Times New Roman" w:hAnsi="Tahoma" w:cs="Tahoma"/>
          <w:color w:val="000000"/>
          <w:lang w:val="en-GB" w:eastAsia="lt-LT"/>
        </w:rPr>
        <w:t>Laisvės</w:t>
      </w:r>
      <w:proofErr w:type="spellEnd"/>
      <w:r w:rsidRPr="004632A4">
        <w:rPr>
          <w:rFonts w:ascii="Tahoma" w:eastAsia="Times New Roman" w:hAnsi="Tahoma" w:cs="Tahoma"/>
          <w:color w:val="000000"/>
          <w:lang w:val="en-GB" w:eastAsia="lt-LT"/>
        </w:rPr>
        <w:t xml:space="preserve"> Ave. 10, Vilnius, Lithuania) </w:t>
      </w:r>
    </w:p>
    <w:p w14:paraId="0D87511D" w14:textId="77777777" w:rsidR="003A0361" w:rsidRPr="004632A4" w:rsidRDefault="003A0361" w:rsidP="003A0361">
      <w:pPr>
        <w:shd w:val="clear" w:color="auto" w:fill="FFFFFF"/>
        <w:spacing w:before="100" w:beforeAutospacing="1" w:after="100" w:afterAutospacing="1"/>
        <w:jc w:val="both"/>
        <w:rPr>
          <w:rFonts w:ascii="Tahoma" w:eastAsia="Times New Roman" w:hAnsi="Tahoma" w:cs="Tahoma"/>
          <w:color w:val="000000"/>
          <w:lang w:val="en-GB" w:eastAsia="lt-LT"/>
        </w:rPr>
      </w:pPr>
      <w:r w:rsidRPr="004632A4">
        <w:rPr>
          <w:rFonts w:ascii="Tahoma" w:eastAsia="Times New Roman" w:hAnsi="Tahoma" w:cs="Tahoma"/>
          <w:color w:val="000000"/>
          <w:lang w:val="en-GB" w:eastAsia="lt-LT"/>
        </w:rPr>
        <w:t xml:space="preserve">EPSO-G announces the consolidated financial and performance results of the Group consisting of the holding company EPSO-G, companies Amber Grid, Baltpool, Energy cells, EPSO-G Invest (registered on 18 July 2024), Litgrid and Tetas. </w:t>
      </w:r>
    </w:p>
    <w:p w14:paraId="1B3F7EC8" w14:textId="77777777" w:rsidR="003A0361" w:rsidRPr="004632A4" w:rsidRDefault="003A0361" w:rsidP="003A0361">
      <w:pPr>
        <w:shd w:val="clear" w:color="auto" w:fill="FFFFFF"/>
        <w:spacing w:before="100" w:beforeAutospacing="1" w:after="100" w:afterAutospacing="1"/>
        <w:rPr>
          <w:rFonts w:ascii="Tahoma" w:eastAsia="Times New Roman" w:hAnsi="Tahoma" w:cs="Tahoma"/>
          <w:color w:val="000000"/>
          <w:lang w:val="en-GB" w:eastAsia="lt-LT"/>
        </w:rPr>
      </w:pPr>
      <w:r w:rsidRPr="004632A4">
        <w:rPr>
          <w:rFonts w:ascii="Tahoma" w:eastAsia="Times New Roman" w:hAnsi="Tahoma" w:cs="Tahoma"/>
          <w:color w:val="000000"/>
          <w:lang w:val="en-GB" w:eastAsia="lt-LT"/>
        </w:rPr>
        <w:t xml:space="preserve">The main financial indicators for January-June 2024: </w:t>
      </w:r>
    </w:p>
    <w:tbl>
      <w:tblPr>
        <w:tblW w:w="9346" w:type="dxa"/>
        <w:shd w:val="clear" w:color="auto" w:fill="FFFFFF"/>
        <w:tblCellMar>
          <w:top w:w="15" w:type="dxa"/>
          <w:left w:w="15" w:type="dxa"/>
          <w:bottom w:w="15" w:type="dxa"/>
          <w:right w:w="15" w:type="dxa"/>
        </w:tblCellMar>
        <w:tblLook w:val="04A0" w:firstRow="1" w:lastRow="0" w:firstColumn="1" w:lastColumn="0" w:noHBand="0" w:noVBand="1"/>
      </w:tblPr>
      <w:tblGrid>
        <w:gridCol w:w="4526"/>
        <w:gridCol w:w="1601"/>
        <w:gridCol w:w="1660"/>
        <w:gridCol w:w="1559"/>
      </w:tblGrid>
      <w:tr w:rsidR="003A0361" w:rsidRPr="004632A4" w14:paraId="5A56245C" w14:textId="77777777" w:rsidTr="006D0A42">
        <w:tc>
          <w:tcPr>
            <w:tcW w:w="45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hideMark/>
          </w:tcPr>
          <w:p w14:paraId="6DEF8FCD" w14:textId="77777777" w:rsidR="003A0361" w:rsidRPr="004632A4" w:rsidRDefault="003A0361" w:rsidP="006D0A42">
            <w:pPr>
              <w:jc w:val="both"/>
              <w:rPr>
                <w:rFonts w:ascii="Tahoma" w:eastAsia="Times New Roman" w:hAnsi="Tahoma" w:cs="Tahoma"/>
                <w:color w:val="000000"/>
                <w:sz w:val="20"/>
                <w:szCs w:val="20"/>
                <w:lang w:val="en-GB" w:eastAsia="lt-LT"/>
              </w:rPr>
            </w:pPr>
            <w:r w:rsidRPr="004632A4">
              <w:rPr>
                <w:rFonts w:ascii="Tahoma" w:eastAsia="Times New Roman" w:hAnsi="Tahoma" w:cs="Tahoma"/>
                <w:b/>
                <w:bCs/>
                <w:color w:val="000000"/>
                <w:sz w:val="20"/>
                <w:szCs w:val="20"/>
                <w:lang w:val="en-GB" w:eastAsia="lt-LT"/>
              </w:rPr>
              <w:t xml:space="preserve">Main financial indicators </w:t>
            </w:r>
          </w:p>
        </w:tc>
        <w:tc>
          <w:tcPr>
            <w:tcW w:w="1601" w:type="dxa"/>
            <w:tcBorders>
              <w:top w:val="single" w:sz="8" w:space="0" w:color="000000" w:themeColor="text1"/>
              <w:bottom w:val="single" w:sz="8" w:space="0" w:color="000000" w:themeColor="text1"/>
              <w:right w:val="single" w:sz="8" w:space="0" w:color="000000" w:themeColor="text1"/>
            </w:tcBorders>
            <w:shd w:val="clear" w:color="auto" w:fill="FFFFFF" w:themeFill="background1"/>
            <w:hideMark/>
          </w:tcPr>
          <w:p w14:paraId="1A6CA0D0" w14:textId="77777777" w:rsidR="003A0361" w:rsidRPr="004632A4" w:rsidRDefault="003A0361" w:rsidP="006D0A42">
            <w:pPr>
              <w:jc w:val="center"/>
              <w:rPr>
                <w:rFonts w:ascii="Tahoma" w:eastAsia="Times New Roman" w:hAnsi="Tahoma" w:cs="Tahoma"/>
                <w:color w:val="000000"/>
                <w:sz w:val="20"/>
                <w:szCs w:val="20"/>
                <w:lang w:val="en-GB" w:eastAsia="lt-LT"/>
              </w:rPr>
            </w:pPr>
            <w:r w:rsidRPr="004632A4">
              <w:rPr>
                <w:rFonts w:ascii="Tahoma" w:eastAsia="Times New Roman" w:hAnsi="Tahoma" w:cs="Tahoma"/>
                <w:b/>
                <w:bCs/>
                <w:color w:val="000000"/>
                <w:sz w:val="20"/>
                <w:szCs w:val="20"/>
                <w:lang w:val="en-GB" w:eastAsia="lt-LT"/>
              </w:rPr>
              <w:t xml:space="preserve">January-June 2024 </w:t>
            </w:r>
          </w:p>
        </w:tc>
        <w:tc>
          <w:tcPr>
            <w:tcW w:w="1660" w:type="dxa"/>
            <w:tcBorders>
              <w:top w:val="single" w:sz="8" w:space="0" w:color="000000" w:themeColor="text1"/>
              <w:bottom w:val="single" w:sz="8" w:space="0" w:color="000000" w:themeColor="text1"/>
              <w:right w:val="single" w:sz="8" w:space="0" w:color="000000" w:themeColor="text1"/>
            </w:tcBorders>
            <w:shd w:val="clear" w:color="auto" w:fill="FFFFFF" w:themeFill="background1"/>
            <w:hideMark/>
          </w:tcPr>
          <w:p w14:paraId="5462106C" w14:textId="77777777" w:rsidR="003A0361" w:rsidRPr="004632A4" w:rsidRDefault="003A0361" w:rsidP="006D0A42">
            <w:pPr>
              <w:jc w:val="center"/>
              <w:rPr>
                <w:rFonts w:ascii="Tahoma" w:eastAsia="Times New Roman" w:hAnsi="Tahoma" w:cs="Tahoma"/>
                <w:color w:val="000000"/>
                <w:sz w:val="20"/>
                <w:szCs w:val="20"/>
                <w:lang w:val="en-GB" w:eastAsia="lt-LT"/>
              </w:rPr>
            </w:pPr>
            <w:r w:rsidRPr="004632A4">
              <w:rPr>
                <w:rFonts w:ascii="Tahoma" w:eastAsia="Times New Roman" w:hAnsi="Tahoma" w:cs="Tahoma"/>
                <w:b/>
                <w:bCs/>
                <w:color w:val="000000"/>
                <w:sz w:val="20"/>
                <w:szCs w:val="20"/>
                <w:lang w:val="en-GB" w:eastAsia="lt-LT"/>
              </w:rPr>
              <w:t>January-June 2023</w:t>
            </w:r>
          </w:p>
        </w:tc>
        <w:tc>
          <w:tcPr>
            <w:tcW w:w="1559" w:type="dxa"/>
            <w:tcBorders>
              <w:top w:val="single" w:sz="8" w:space="0" w:color="000000" w:themeColor="text1"/>
              <w:bottom w:val="single" w:sz="8" w:space="0" w:color="000000" w:themeColor="text1"/>
              <w:right w:val="single" w:sz="8" w:space="0" w:color="000000" w:themeColor="text1"/>
            </w:tcBorders>
            <w:shd w:val="clear" w:color="auto" w:fill="FFFFFF" w:themeFill="background1"/>
            <w:hideMark/>
          </w:tcPr>
          <w:p w14:paraId="511CD64D" w14:textId="77777777" w:rsidR="003A0361" w:rsidRPr="004632A4" w:rsidRDefault="003A0361" w:rsidP="006D0A42">
            <w:pPr>
              <w:jc w:val="center"/>
              <w:rPr>
                <w:rFonts w:ascii="Tahoma" w:eastAsia="Times New Roman" w:hAnsi="Tahoma" w:cs="Tahoma"/>
                <w:color w:val="000000"/>
                <w:sz w:val="20"/>
                <w:szCs w:val="20"/>
                <w:lang w:val="en-GB" w:eastAsia="lt-LT"/>
              </w:rPr>
            </w:pPr>
            <w:r w:rsidRPr="004632A4">
              <w:rPr>
                <w:rFonts w:ascii="Tahoma" w:eastAsia="Times New Roman" w:hAnsi="Tahoma" w:cs="Tahoma"/>
                <w:b/>
                <w:bCs/>
                <w:color w:val="000000"/>
                <w:sz w:val="20"/>
                <w:szCs w:val="20"/>
                <w:lang w:val="en-GB" w:eastAsia="lt-LT"/>
              </w:rPr>
              <w:t>Change, %</w:t>
            </w:r>
          </w:p>
        </w:tc>
      </w:tr>
      <w:tr w:rsidR="003A0361" w:rsidRPr="004632A4" w14:paraId="28E2E576" w14:textId="77777777" w:rsidTr="006D0A42">
        <w:tc>
          <w:tcPr>
            <w:tcW w:w="4526" w:type="dxa"/>
            <w:tcBorders>
              <w:left w:val="single" w:sz="8" w:space="0" w:color="000000" w:themeColor="text1"/>
              <w:bottom w:val="single" w:sz="8" w:space="0" w:color="000000" w:themeColor="text1"/>
              <w:right w:val="single" w:sz="8" w:space="0" w:color="000000" w:themeColor="text1"/>
            </w:tcBorders>
            <w:shd w:val="clear" w:color="auto" w:fill="FFFFFF" w:themeFill="background1"/>
            <w:hideMark/>
          </w:tcPr>
          <w:p w14:paraId="35BDB5D7" w14:textId="77777777" w:rsidR="003A0361" w:rsidRPr="004632A4" w:rsidRDefault="003A0361" w:rsidP="006D0A42">
            <w:pPr>
              <w:jc w:val="both"/>
              <w:rPr>
                <w:rFonts w:ascii="Tahoma" w:eastAsia="Times New Roman" w:hAnsi="Tahoma" w:cs="Tahoma"/>
                <w:color w:val="000000"/>
                <w:sz w:val="20"/>
                <w:szCs w:val="20"/>
                <w:lang w:val="en-GB" w:eastAsia="lt-LT"/>
              </w:rPr>
            </w:pPr>
            <w:r w:rsidRPr="004632A4">
              <w:rPr>
                <w:rFonts w:ascii="Tahoma" w:eastAsia="Times New Roman" w:hAnsi="Tahoma" w:cs="Tahoma"/>
                <w:color w:val="000000"/>
                <w:sz w:val="20"/>
                <w:szCs w:val="20"/>
                <w:lang w:val="en-GB" w:eastAsia="lt-LT"/>
              </w:rPr>
              <w:t>Revenue, m</w:t>
            </w:r>
            <w:r>
              <w:rPr>
                <w:rFonts w:ascii="Tahoma" w:eastAsia="Times New Roman" w:hAnsi="Tahoma" w:cs="Tahoma"/>
                <w:color w:val="000000"/>
                <w:sz w:val="20"/>
                <w:szCs w:val="20"/>
                <w:lang w:val="en-GB" w:eastAsia="lt-LT"/>
              </w:rPr>
              <w:t>illion</w:t>
            </w:r>
            <w:r w:rsidRPr="004632A4">
              <w:rPr>
                <w:rFonts w:ascii="Tahoma" w:eastAsia="Times New Roman" w:hAnsi="Tahoma" w:cs="Tahoma"/>
                <w:color w:val="000000"/>
                <w:sz w:val="20"/>
                <w:szCs w:val="20"/>
                <w:lang w:val="en-GB" w:eastAsia="lt-LT"/>
              </w:rPr>
              <w:t xml:space="preserve"> EUR</w:t>
            </w:r>
          </w:p>
        </w:tc>
        <w:tc>
          <w:tcPr>
            <w:tcW w:w="1601" w:type="dxa"/>
            <w:tcBorders>
              <w:bottom w:val="single" w:sz="8" w:space="0" w:color="000000" w:themeColor="text1"/>
              <w:right w:val="single" w:sz="8" w:space="0" w:color="000000" w:themeColor="text1"/>
            </w:tcBorders>
            <w:shd w:val="clear" w:color="auto" w:fill="FFFFFF" w:themeFill="background1"/>
          </w:tcPr>
          <w:p w14:paraId="49F5B978" w14:textId="77777777" w:rsidR="003A0361" w:rsidRPr="004632A4" w:rsidRDefault="003A0361" w:rsidP="006D0A42">
            <w:pPr>
              <w:jc w:val="center"/>
              <w:rPr>
                <w:rFonts w:ascii="Tahoma" w:eastAsia="Times New Roman" w:hAnsi="Tahoma" w:cs="Tahoma"/>
                <w:color w:val="000000"/>
                <w:sz w:val="20"/>
                <w:szCs w:val="20"/>
                <w:lang w:val="en-GB" w:eastAsia="lt-LT"/>
              </w:rPr>
            </w:pPr>
            <w:r w:rsidRPr="004632A4">
              <w:rPr>
                <w:rFonts w:ascii="Tahoma" w:eastAsia="Times New Roman" w:hAnsi="Tahoma" w:cs="Tahoma"/>
                <w:color w:val="000000"/>
                <w:sz w:val="20"/>
                <w:szCs w:val="20"/>
                <w:lang w:val="en-GB" w:eastAsia="lt-LT"/>
              </w:rPr>
              <w:t>246,4</w:t>
            </w:r>
          </w:p>
        </w:tc>
        <w:tc>
          <w:tcPr>
            <w:tcW w:w="1660" w:type="dxa"/>
            <w:tcBorders>
              <w:bottom w:val="single" w:sz="8" w:space="0" w:color="000000" w:themeColor="text1"/>
              <w:right w:val="single" w:sz="8" w:space="0" w:color="000000" w:themeColor="text1"/>
            </w:tcBorders>
            <w:shd w:val="clear" w:color="auto" w:fill="FFFFFF" w:themeFill="background1"/>
          </w:tcPr>
          <w:p w14:paraId="72D90B8E" w14:textId="77777777" w:rsidR="003A0361" w:rsidRPr="004632A4" w:rsidRDefault="003A0361" w:rsidP="006D0A42">
            <w:pPr>
              <w:jc w:val="center"/>
              <w:rPr>
                <w:rFonts w:ascii="Tahoma" w:eastAsia="Times New Roman" w:hAnsi="Tahoma" w:cs="Tahoma"/>
                <w:color w:val="000000"/>
                <w:sz w:val="20"/>
                <w:szCs w:val="20"/>
                <w:lang w:val="en-GB" w:eastAsia="lt-LT"/>
              </w:rPr>
            </w:pPr>
            <w:r w:rsidRPr="004632A4">
              <w:rPr>
                <w:rFonts w:ascii="Tahoma" w:eastAsia="Times New Roman" w:hAnsi="Tahoma" w:cs="Tahoma"/>
                <w:color w:val="000000"/>
                <w:sz w:val="20"/>
                <w:szCs w:val="20"/>
                <w:lang w:val="en-GB" w:eastAsia="lt-LT"/>
              </w:rPr>
              <w:t>221,1</w:t>
            </w:r>
          </w:p>
        </w:tc>
        <w:tc>
          <w:tcPr>
            <w:tcW w:w="1559" w:type="dxa"/>
            <w:tcBorders>
              <w:bottom w:val="single" w:sz="8" w:space="0" w:color="000000" w:themeColor="text1"/>
              <w:right w:val="single" w:sz="8" w:space="0" w:color="000000" w:themeColor="text1"/>
            </w:tcBorders>
            <w:shd w:val="clear" w:color="auto" w:fill="FFFFFF" w:themeFill="background1"/>
          </w:tcPr>
          <w:p w14:paraId="0B9D340F" w14:textId="77777777" w:rsidR="003A0361" w:rsidRPr="004632A4" w:rsidRDefault="003A0361" w:rsidP="006D0A42">
            <w:pPr>
              <w:jc w:val="center"/>
              <w:rPr>
                <w:rFonts w:ascii="Tahoma" w:eastAsia="Times New Roman" w:hAnsi="Tahoma" w:cs="Tahoma"/>
                <w:color w:val="000000"/>
                <w:sz w:val="20"/>
                <w:szCs w:val="20"/>
                <w:lang w:val="en-GB" w:eastAsia="lt-LT"/>
              </w:rPr>
            </w:pPr>
            <w:r w:rsidRPr="004632A4">
              <w:rPr>
                <w:rFonts w:ascii="Tahoma" w:eastAsia="Times New Roman" w:hAnsi="Tahoma" w:cs="Tahoma"/>
                <w:color w:val="000000"/>
                <w:sz w:val="20"/>
                <w:szCs w:val="20"/>
                <w:lang w:val="en-GB" w:eastAsia="lt-LT"/>
              </w:rPr>
              <w:t>11,5</w:t>
            </w:r>
          </w:p>
        </w:tc>
      </w:tr>
      <w:tr w:rsidR="003A0361" w:rsidRPr="004632A4" w14:paraId="6CCD6E01" w14:textId="77777777" w:rsidTr="006D0A42">
        <w:tc>
          <w:tcPr>
            <w:tcW w:w="4526" w:type="dxa"/>
            <w:tcBorders>
              <w:left w:val="single" w:sz="8" w:space="0" w:color="000000" w:themeColor="text1"/>
              <w:bottom w:val="single" w:sz="8" w:space="0" w:color="000000" w:themeColor="text1"/>
              <w:right w:val="single" w:sz="8" w:space="0" w:color="000000" w:themeColor="text1"/>
            </w:tcBorders>
            <w:shd w:val="clear" w:color="auto" w:fill="FFFFFF" w:themeFill="background1"/>
            <w:hideMark/>
          </w:tcPr>
          <w:p w14:paraId="2389BAAF" w14:textId="77777777" w:rsidR="003A0361" w:rsidRPr="004632A4" w:rsidRDefault="003A0361" w:rsidP="006D0A42">
            <w:pPr>
              <w:jc w:val="both"/>
              <w:rPr>
                <w:rFonts w:ascii="Tahoma" w:eastAsia="Times New Roman" w:hAnsi="Tahoma" w:cs="Tahoma"/>
                <w:color w:val="000000"/>
                <w:sz w:val="20"/>
                <w:szCs w:val="20"/>
                <w:lang w:val="en-GB" w:eastAsia="lt-LT"/>
              </w:rPr>
            </w:pPr>
            <w:r w:rsidRPr="004632A4">
              <w:rPr>
                <w:rFonts w:ascii="Tahoma" w:eastAsia="Times New Roman" w:hAnsi="Tahoma" w:cs="Tahoma"/>
                <w:color w:val="000000"/>
                <w:sz w:val="20"/>
                <w:szCs w:val="20"/>
                <w:lang w:val="en-GB" w:eastAsia="lt-LT"/>
              </w:rPr>
              <w:t>EBITDA, m</w:t>
            </w:r>
            <w:r>
              <w:rPr>
                <w:rFonts w:ascii="Tahoma" w:eastAsia="Times New Roman" w:hAnsi="Tahoma" w:cs="Tahoma"/>
                <w:color w:val="000000"/>
                <w:sz w:val="20"/>
                <w:szCs w:val="20"/>
                <w:lang w:val="en-GB" w:eastAsia="lt-LT"/>
              </w:rPr>
              <w:t>illion</w:t>
            </w:r>
            <w:r w:rsidRPr="004632A4">
              <w:rPr>
                <w:rFonts w:ascii="Tahoma" w:eastAsia="Times New Roman" w:hAnsi="Tahoma" w:cs="Tahoma"/>
                <w:color w:val="000000"/>
                <w:sz w:val="20"/>
                <w:szCs w:val="20"/>
                <w:lang w:val="en-GB" w:eastAsia="lt-LT"/>
              </w:rPr>
              <w:t xml:space="preserve"> EUR</w:t>
            </w:r>
          </w:p>
        </w:tc>
        <w:tc>
          <w:tcPr>
            <w:tcW w:w="1601" w:type="dxa"/>
            <w:tcBorders>
              <w:bottom w:val="single" w:sz="8" w:space="0" w:color="000000" w:themeColor="text1"/>
              <w:right w:val="single" w:sz="8" w:space="0" w:color="000000" w:themeColor="text1"/>
            </w:tcBorders>
            <w:shd w:val="clear" w:color="auto" w:fill="FFFFFF" w:themeFill="background1"/>
          </w:tcPr>
          <w:p w14:paraId="75CB84BE" w14:textId="77777777" w:rsidR="003A0361" w:rsidRPr="004632A4" w:rsidRDefault="003A0361" w:rsidP="006D0A42">
            <w:pPr>
              <w:jc w:val="center"/>
              <w:rPr>
                <w:rFonts w:ascii="Tahoma" w:eastAsia="Times New Roman" w:hAnsi="Tahoma" w:cs="Tahoma"/>
                <w:color w:val="000000"/>
                <w:sz w:val="20"/>
                <w:szCs w:val="20"/>
                <w:lang w:val="en-GB" w:eastAsia="lt-LT"/>
              </w:rPr>
            </w:pPr>
            <w:r w:rsidRPr="004632A4">
              <w:rPr>
                <w:rFonts w:ascii="Tahoma" w:eastAsia="Times New Roman" w:hAnsi="Tahoma" w:cs="Tahoma"/>
                <w:color w:val="000000"/>
                <w:sz w:val="20"/>
                <w:szCs w:val="20"/>
                <w:lang w:val="en-GB" w:eastAsia="lt-LT"/>
              </w:rPr>
              <w:t>52,4</w:t>
            </w:r>
          </w:p>
        </w:tc>
        <w:tc>
          <w:tcPr>
            <w:tcW w:w="1660" w:type="dxa"/>
            <w:tcBorders>
              <w:bottom w:val="single" w:sz="8" w:space="0" w:color="000000" w:themeColor="text1"/>
              <w:right w:val="single" w:sz="8" w:space="0" w:color="000000" w:themeColor="text1"/>
            </w:tcBorders>
            <w:shd w:val="clear" w:color="auto" w:fill="FFFFFF" w:themeFill="background1"/>
          </w:tcPr>
          <w:p w14:paraId="1BB05D91" w14:textId="77777777" w:rsidR="003A0361" w:rsidRPr="004632A4" w:rsidRDefault="003A0361" w:rsidP="006D0A42">
            <w:pPr>
              <w:jc w:val="center"/>
              <w:rPr>
                <w:rFonts w:ascii="Tahoma" w:eastAsia="Times New Roman" w:hAnsi="Tahoma" w:cs="Tahoma"/>
                <w:color w:val="000000"/>
                <w:sz w:val="20"/>
                <w:szCs w:val="20"/>
                <w:lang w:val="en-GB" w:eastAsia="lt-LT"/>
              </w:rPr>
            </w:pPr>
            <w:r w:rsidRPr="004632A4">
              <w:rPr>
                <w:rFonts w:ascii="Tahoma" w:eastAsia="Times New Roman" w:hAnsi="Tahoma" w:cs="Tahoma"/>
                <w:color w:val="000000"/>
                <w:sz w:val="20"/>
                <w:szCs w:val="20"/>
                <w:lang w:val="en-GB" w:eastAsia="lt-LT"/>
              </w:rPr>
              <w:t>44,2</w:t>
            </w:r>
          </w:p>
        </w:tc>
        <w:tc>
          <w:tcPr>
            <w:tcW w:w="1559" w:type="dxa"/>
            <w:tcBorders>
              <w:bottom w:val="single" w:sz="8" w:space="0" w:color="000000" w:themeColor="text1"/>
              <w:right w:val="single" w:sz="8" w:space="0" w:color="000000" w:themeColor="text1"/>
            </w:tcBorders>
            <w:shd w:val="clear" w:color="auto" w:fill="FFFFFF" w:themeFill="background1"/>
          </w:tcPr>
          <w:p w14:paraId="580256EC" w14:textId="77777777" w:rsidR="003A0361" w:rsidRPr="004632A4" w:rsidRDefault="003A0361" w:rsidP="006D0A42">
            <w:pPr>
              <w:jc w:val="center"/>
              <w:rPr>
                <w:rFonts w:ascii="Tahoma" w:eastAsia="Times New Roman" w:hAnsi="Tahoma" w:cs="Tahoma"/>
                <w:color w:val="000000"/>
                <w:sz w:val="20"/>
                <w:szCs w:val="20"/>
                <w:lang w:val="en-GB" w:eastAsia="lt-LT"/>
              </w:rPr>
            </w:pPr>
            <w:r w:rsidRPr="004632A4">
              <w:rPr>
                <w:rFonts w:ascii="Tahoma" w:eastAsia="Times New Roman" w:hAnsi="Tahoma" w:cs="Tahoma"/>
                <w:color w:val="000000"/>
                <w:sz w:val="20"/>
                <w:szCs w:val="20"/>
                <w:lang w:val="en-GB" w:eastAsia="lt-LT"/>
              </w:rPr>
              <w:t>18,5</w:t>
            </w:r>
          </w:p>
        </w:tc>
      </w:tr>
      <w:tr w:rsidR="003A0361" w:rsidRPr="004632A4" w14:paraId="29C7ACD3" w14:textId="77777777" w:rsidTr="006D0A42">
        <w:tc>
          <w:tcPr>
            <w:tcW w:w="4526" w:type="dxa"/>
            <w:tcBorders>
              <w:left w:val="single" w:sz="8" w:space="0" w:color="000000" w:themeColor="text1"/>
              <w:bottom w:val="single" w:sz="8" w:space="0" w:color="000000" w:themeColor="text1"/>
              <w:right w:val="single" w:sz="8" w:space="0" w:color="000000" w:themeColor="text1"/>
            </w:tcBorders>
            <w:shd w:val="clear" w:color="auto" w:fill="FFFFFF" w:themeFill="background1"/>
            <w:hideMark/>
          </w:tcPr>
          <w:p w14:paraId="20020723" w14:textId="77777777" w:rsidR="003A0361" w:rsidRPr="004632A4" w:rsidRDefault="003A0361" w:rsidP="006D0A42">
            <w:pPr>
              <w:jc w:val="both"/>
              <w:rPr>
                <w:rFonts w:ascii="Tahoma" w:eastAsia="Times New Roman" w:hAnsi="Tahoma" w:cs="Tahoma"/>
                <w:color w:val="000000"/>
                <w:sz w:val="20"/>
                <w:szCs w:val="20"/>
                <w:lang w:val="en-GB" w:eastAsia="lt-LT"/>
              </w:rPr>
            </w:pPr>
            <w:r w:rsidRPr="004632A4">
              <w:rPr>
                <w:rFonts w:ascii="Tahoma" w:eastAsia="Times New Roman" w:hAnsi="Tahoma" w:cs="Tahoma"/>
                <w:color w:val="000000"/>
                <w:sz w:val="20"/>
                <w:szCs w:val="20"/>
                <w:lang w:val="en-GB" w:eastAsia="lt-LT"/>
              </w:rPr>
              <w:t>Net profit,</w:t>
            </w:r>
            <w:r>
              <w:rPr>
                <w:rFonts w:ascii="Tahoma" w:eastAsia="Times New Roman" w:hAnsi="Tahoma" w:cs="Tahoma"/>
                <w:color w:val="000000"/>
                <w:sz w:val="20"/>
                <w:szCs w:val="20"/>
                <w:lang w:val="en-GB" w:eastAsia="lt-LT"/>
              </w:rPr>
              <w:t xml:space="preserve"> </w:t>
            </w:r>
            <w:r w:rsidRPr="004632A4">
              <w:rPr>
                <w:rFonts w:ascii="Tahoma" w:eastAsia="Times New Roman" w:hAnsi="Tahoma" w:cs="Tahoma"/>
                <w:color w:val="000000"/>
                <w:sz w:val="20"/>
                <w:szCs w:val="20"/>
                <w:lang w:val="en-GB" w:eastAsia="lt-LT"/>
              </w:rPr>
              <w:t>m</w:t>
            </w:r>
            <w:r>
              <w:rPr>
                <w:rFonts w:ascii="Tahoma" w:eastAsia="Times New Roman" w:hAnsi="Tahoma" w:cs="Tahoma"/>
                <w:color w:val="000000"/>
                <w:sz w:val="20"/>
                <w:szCs w:val="20"/>
                <w:lang w:val="en-GB" w:eastAsia="lt-LT"/>
              </w:rPr>
              <w:t>illion</w:t>
            </w:r>
            <w:r w:rsidRPr="004632A4">
              <w:rPr>
                <w:rFonts w:ascii="Tahoma" w:eastAsia="Times New Roman" w:hAnsi="Tahoma" w:cs="Tahoma"/>
                <w:color w:val="000000"/>
                <w:sz w:val="20"/>
                <w:szCs w:val="20"/>
                <w:lang w:val="en-GB" w:eastAsia="lt-LT"/>
              </w:rPr>
              <w:t xml:space="preserve"> EUR</w:t>
            </w:r>
          </w:p>
        </w:tc>
        <w:tc>
          <w:tcPr>
            <w:tcW w:w="1601" w:type="dxa"/>
            <w:tcBorders>
              <w:bottom w:val="single" w:sz="8" w:space="0" w:color="000000" w:themeColor="text1"/>
              <w:right w:val="single" w:sz="8" w:space="0" w:color="000000" w:themeColor="text1"/>
            </w:tcBorders>
            <w:shd w:val="clear" w:color="auto" w:fill="FFFFFF" w:themeFill="background1"/>
          </w:tcPr>
          <w:p w14:paraId="08D89D6A" w14:textId="77777777" w:rsidR="003A0361" w:rsidRPr="004632A4" w:rsidRDefault="003A0361" w:rsidP="006D0A42">
            <w:pPr>
              <w:jc w:val="center"/>
              <w:rPr>
                <w:rFonts w:ascii="Tahoma" w:eastAsia="Times New Roman" w:hAnsi="Tahoma" w:cs="Tahoma"/>
                <w:color w:val="000000"/>
                <w:sz w:val="20"/>
                <w:szCs w:val="20"/>
                <w:lang w:val="en-GB" w:eastAsia="lt-LT"/>
              </w:rPr>
            </w:pPr>
            <w:r w:rsidRPr="004632A4">
              <w:rPr>
                <w:rFonts w:ascii="Tahoma" w:eastAsia="Times New Roman" w:hAnsi="Tahoma" w:cs="Tahoma"/>
                <w:color w:val="000000"/>
                <w:sz w:val="20"/>
                <w:szCs w:val="20"/>
                <w:lang w:val="en-GB" w:eastAsia="lt-LT"/>
              </w:rPr>
              <w:t>30,4</w:t>
            </w:r>
          </w:p>
        </w:tc>
        <w:tc>
          <w:tcPr>
            <w:tcW w:w="1660" w:type="dxa"/>
            <w:tcBorders>
              <w:bottom w:val="single" w:sz="8" w:space="0" w:color="000000" w:themeColor="text1"/>
              <w:right w:val="single" w:sz="8" w:space="0" w:color="000000" w:themeColor="text1"/>
            </w:tcBorders>
            <w:shd w:val="clear" w:color="auto" w:fill="FFFFFF" w:themeFill="background1"/>
          </w:tcPr>
          <w:p w14:paraId="791B9ADC" w14:textId="77777777" w:rsidR="003A0361" w:rsidRPr="004632A4" w:rsidRDefault="003A0361" w:rsidP="006D0A42">
            <w:pPr>
              <w:jc w:val="center"/>
              <w:rPr>
                <w:rFonts w:ascii="Tahoma" w:eastAsia="Times New Roman" w:hAnsi="Tahoma" w:cs="Tahoma"/>
                <w:color w:val="000000"/>
                <w:sz w:val="20"/>
                <w:szCs w:val="20"/>
                <w:lang w:val="en-GB" w:eastAsia="lt-LT"/>
              </w:rPr>
            </w:pPr>
            <w:r w:rsidRPr="004632A4">
              <w:rPr>
                <w:rFonts w:ascii="Tahoma" w:eastAsia="Times New Roman" w:hAnsi="Tahoma" w:cs="Tahoma"/>
                <w:color w:val="000000"/>
                <w:sz w:val="20"/>
                <w:szCs w:val="20"/>
                <w:lang w:val="en-GB" w:eastAsia="lt-LT"/>
              </w:rPr>
              <w:t>31,5</w:t>
            </w:r>
          </w:p>
        </w:tc>
        <w:tc>
          <w:tcPr>
            <w:tcW w:w="1559" w:type="dxa"/>
            <w:tcBorders>
              <w:bottom w:val="single" w:sz="8" w:space="0" w:color="000000" w:themeColor="text1"/>
              <w:right w:val="single" w:sz="8" w:space="0" w:color="000000" w:themeColor="text1"/>
            </w:tcBorders>
            <w:shd w:val="clear" w:color="auto" w:fill="FFFFFF" w:themeFill="background1"/>
          </w:tcPr>
          <w:p w14:paraId="3310E255" w14:textId="77777777" w:rsidR="003A0361" w:rsidRPr="004632A4" w:rsidRDefault="003A0361" w:rsidP="006D0A42">
            <w:pPr>
              <w:jc w:val="center"/>
              <w:rPr>
                <w:rFonts w:ascii="Tahoma" w:eastAsia="Times New Roman" w:hAnsi="Tahoma" w:cs="Tahoma"/>
                <w:color w:val="000000"/>
                <w:sz w:val="20"/>
                <w:szCs w:val="20"/>
                <w:lang w:val="en-GB" w:eastAsia="lt-LT"/>
              </w:rPr>
            </w:pPr>
            <w:r w:rsidRPr="004632A4">
              <w:rPr>
                <w:rFonts w:ascii="Tahoma" w:eastAsia="Times New Roman" w:hAnsi="Tahoma" w:cs="Tahoma"/>
                <w:color w:val="000000"/>
                <w:sz w:val="20"/>
                <w:szCs w:val="20"/>
                <w:lang w:val="en-GB" w:eastAsia="lt-LT"/>
              </w:rPr>
              <w:t>-3,6</w:t>
            </w:r>
          </w:p>
        </w:tc>
      </w:tr>
      <w:tr w:rsidR="003A0361" w:rsidRPr="004632A4" w14:paraId="3F92821B" w14:textId="77777777" w:rsidTr="006D0A42">
        <w:tc>
          <w:tcPr>
            <w:tcW w:w="4526" w:type="dxa"/>
            <w:tcBorders>
              <w:left w:val="single" w:sz="8" w:space="0" w:color="000000" w:themeColor="text1"/>
              <w:bottom w:val="single" w:sz="8" w:space="0" w:color="000000" w:themeColor="text1"/>
              <w:right w:val="single" w:sz="8" w:space="0" w:color="000000" w:themeColor="text1"/>
            </w:tcBorders>
            <w:shd w:val="clear" w:color="auto" w:fill="FFFFFF" w:themeFill="background1"/>
            <w:hideMark/>
          </w:tcPr>
          <w:p w14:paraId="6C3DDB3D" w14:textId="77777777" w:rsidR="003A0361" w:rsidRPr="004632A4" w:rsidRDefault="003A0361" w:rsidP="006D0A42">
            <w:pPr>
              <w:jc w:val="both"/>
              <w:rPr>
                <w:rFonts w:ascii="Tahoma" w:eastAsia="Times New Roman" w:hAnsi="Tahoma" w:cs="Tahoma"/>
                <w:color w:val="000000"/>
                <w:sz w:val="20"/>
                <w:szCs w:val="20"/>
                <w:lang w:val="en-GB" w:eastAsia="lt-LT"/>
              </w:rPr>
            </w:pPr>
            <w:r w:rsidRPr="004632A4">
              <w:rPr>
                <w:rFonts w:ascii="Tahoma" w:eastAsia="Times New Roman" w:hAnsi="Tahoma" w:cs="Tahoma"/>
                <w:color w:val="000000"/>
                <w:sz w:val="20"/>
                <w:szCs w:val="20"/>
                <w:lang w:val="en-GB" w:eastAsia="lt-LT"/>
              </w:rPr>
              <w:t>ROE (of the (last 12 months), %</w:t>
            </w:r>
          </w:p>
        </w:tc>
        <w:tc>
          <w:tcPr>
            <w:tcW w:w="1601" w:type="dxa"/>
            <w:tcBorders>
              <w:bottom w:val="single" w:sz="8" w:space="0" w:color="000000" w:themeColor="text1"/>
              <w:right w:val="single" w:sz="8" w:space="0" w:color="000000" w:themeColor="text1"/>
            </w:tcBorders>
            <w:shd w:val="clear" w:color="auto" w:fill="FFFFFF" w:themeFill="background1"/>
          </w:tcPr>
          <w:p w14:paraId="1C10A308" w14:textId="77777777" w:rsidR="003A0361" w:rsidRPr="004632A4" w:rsidRDefault="003A0361" w:rsidP="006D0A42">
            <w:pPr>
              <w:jc w:val="center"/>
              <w:rPr>
                <w:rFonts w:ascii="Tahoma" w:eastAsia="Times New Roman" w:hAnsi="Tahoma" w:cs="Tahoma"/>
                <w:color w:val="000000"/>
                <w:sz w:val="20"/>
                <w:szCs w:val="20"/>
                <w:lang w:val="en-GB" w:eastAsia="lt-LT"/>
              </w:rPr>
            </w:pPr>
            <w:r w:rsidRPr="004632A4">
              <w:rPr>
                <w:rFonts w:ascii="Tahoma" w:eastAsia="Times New Roman" w:hAnsi="Tahoma" w:cs="Tahoma"/>
                <w:color w:val="000000"/>
                <w:sz w:val="20"/>
                <w:szCs w:val="20"/>
                <w:lang w:val="en-GB" w:eastAsia="lt-LT"/>
              </w:rPr>
              <w:t>17,2</w:t>
            </w:r>
          </w:p>
        </w:tc>
        <w:tc>
          <w:tcPr>
            <w:tcW w:w="1660" w:type="dxa"/>
            <w:tcBorders>
              <w:bottom w:val="single" w:sz="8" w:space="0" w:color="000000" w:themeColor="text1"/>
              <w:right w:val="single" w:sz="8" w:space="0" w:color="000000" w:themeColor="text1"/>
            </w:tcBorders>
            <w:shd w:val="clear" w:color="auto" w:fill="FFFFFF" w:themeFill="background1"/>
          </w:tcPr>
          <w:p w14:paraId="454B24BA" w14:textId="77777777" w:rsidR="003A0361" w:rsidRPr="004632A4" w:rsidRDefault="003A0361" w:rsidP="006D0A42">
            <w:pPr>
              <w:jc w:val="center"/>
              <w:rPr>
                <w:rFonts w:ascii="Tahoma" w:eastAsia="Times New Roman" w:hAnsi="Tahoma" w:cs="Tahoma"/>
                <w:color w:val="000000"/>
                <w:sz w:val="20"/>
                <w:szCs w:val="20"/>
                <w:lang w:val="en-GB" w:eastAsia="lt-LT"/>
              </w:rPr>
            </w:pPr>
            <w:r w:rsidRPr="004632A4">
              <w:rPr>
                <w:rFonts w:ascii="Tahoma" w:eastAsia="Times New Roman" w:hAnsi="Tahoma" w:cs="Tahoma"/>
                <w:color w:val="000000"/>
                <w:sz w:val="20"/>
                <w:szCs w:val="20"/>
                <w:lang w:val="en-GB" w:eastAsia="lt-LT"/>
              </w:rPr>
              <w:t>-2,5</w:t>
            </w:r>
          </w:p>
        </w:tc>
        <w:tc>
          <w:tcPr>
            <w:tcW w:w="1559" w:type="dxa"/>
            <w:tcBorders>
              <w:bottom w:val="single" w:sz="8" w:space="0" w:color="000000" w:themeColor="text1"/>
              <w:right w:val="single" w:sz="8" w:space="0" w:color="000000" w:themeColor="text1"/>
            </w:tcBorders>
            <w:shd w:val="clear" w:color="auto" w:fill="FFFFFF" w:themeFill="background1"/>
          </w:tcPr>
          <w:p w14:paraId="6ECCBD99" w14:textId="77777777" w:rsidR="003A0361" w:rsidRPr="004632A4" w:rsidRDefault="003A0361" w:rsidP="006D0A42">
            <w:pPr>
              <w:jc w:val="center"/>
              <w:rPr>
                <w:rFonts w:ascii="Tahoma" w:eastAsia="Times New Roman" w:hAnsi="Tahoma" w:cs="Tahoma"/>
                <w:color w:val="000000"/>
                <w:sz w:val="20"/>
                <w:szCs w:val="20"/>
                <w:lang w:val="en-GB" w:eastAsia="lt-LT"/>
              </w:rPr>
            </w:pPr>
            <w:r w:rsidRPr="004632A4">
              <w:rPr>
                <w:rFonts w:ascii="Tahoma" w:eastAsia="Times New Roman" w:hAnsi="Tahoma" w:cs="Tahoma"/>
                <w:color w:val="000000"/>
                <w:sz w:val="20"/>
                <w:szCs w:val="20"/>
                <w:lang w:val="en-GB" w:eastAsia="lt-LT"/>
              </w:rPr>
              <w:t>-</w:t>
            </w:r>
          </w:p>
        </w:tc>
      </w:tr>
      <w:tr w:rsidR="003A0361" w:rsidRPr="004632A4" w14:paraId="3958C910" w14:textId="77777777" w:rsidTr="006D0A42">
        <w:trPr>
          <w:trHeight w:val="300"/>
        </w:trPr>
        <w:tc>
          <w:tcPr>
            <w:tcW w:w="4526" w:type="dxa"/>
            <w:tcBorders>
              <w:left w:val="single" w:sz="8" w:space="0" w:color="000000" w:themeColor="text1"/>
              <w:bottom w:val="single" w:sz="8" w:space="0" w:color="000000" w:themeColor="text1"/>
              <w:right w:val="single" w:sz="8" w:space="0" w:color="000000" w:themeColor="text1"/>
            </w:tcBorders>
            <w:shd w:val="clear" w:color="auto" w:fill="FFFFFF" w:themeFill="background1"/>
            <w:hideMark/>
          </w:tcPr>
          <w:p w14:paraId="72961275" w14:textId="77777777" w:rsidR="003A0361" w:rsidRPr="004632A4" w:rsidRDefault="003A0361" w:rsidP="006D0A42">
            <w:pPr>
              <w:jc w:val="both"/>
              <w:rPr>
                <w:rFonts w:ascii="Tahoma" w:eastAsia="Times New Roman" w:hAnsi="Tahoma" w:cs="Tahoma"/>
                <w:color w:val="000000" w:themeColor="text1"/>
                <w:sz w:val="20"/>
                <w:szCs w:val="20"/>
                <w:lang w:val="en-GB" w:eastAsia="lt-LT"/>
              </w:rPr>
            </w:pPr>
            <w:r w:rsidRPr="004632A4">
              <w:rPr>
                <w:rFonts w:ascii="Tahoma" w:eastAsia="Times New Roman" w:hAnsi="Tahoma" w:cs="Tahoma"/>
                <w:color w:val="000000" w:themeColor="text1"/>
                <w:sz w:val="20"/>
                <w:szCs w:val="20"/>
                <w:lang w:val="en-GB" w:eastAsia="lt-LT"/>
              </w:rPr>
              <w:t xml:space="preserve">Net debt, </w:t>
            </w:r>
            <w:r w:rsidRPr="004632A4">
              <w:rPr>
                <w:rFonts w:ascii="Tahoma" w:eastAsia="Times New Roman" w:hAnsi="Tahoma" w:cs="Tahoma"/>
                <w:color w:val="000000"/>
                <w:sz w:val="20"/>
                <w:szCs w:val="20"/>
                <w:lang w:val="en-GB" w:eastAsia="lt-LT"/>
              </w:rPr>
              <w:t>m</w:t>
            </w:r>
            <w:r>
              <w:rPr>
                <w:rFonts w:ascii="Tahoma" w:eastAsia="Times New Roman" w:hAnsi="Tahoma" w:cs="Tahoma"/>
                <w:color w:val="000000"/>
                <w:sz w:val="20"/>
                <w:szCs w:val="20"/>
                <w:lang w:val="en-GB" w:eastAsia="lt-LT"/>
              </w:rPr>
              <w:t>illion</w:t>
            </w:r>
            <w:r w:rsidRPr="004632A4">
              <w:rPr>
                <w:rFonts w:ascii="Tahoma" w:eastAsia="Times New Roman" w:hAnsi="Tahoma" w:cs="Tahoma"/>
                <w:color w:val="000000" w:themeColor="text1"/>
                <w:sz w:val="20"/>
                <w:szCs w:val="20"/>
                <w:lang w:val="en-GB" w:eastAsia="lt-LT"/>
              </w:rPr>
              <w:t xml:space="preserve"> EUR</w:t>
            </w:r>
          </w:p>
        </w:tc>
        <w:tc>
          <w:tcPr>
            <w:tcW w:w="1601" w:type="dxa"/>
            <w:tcBorders>
              <w:bottom w:val="single" w:sz="8" w:space="0" w:color="000000" w:themeColor="text1"/>
              <w:right w:val="single" w:sz="8" w:space="0" w:color="000000" w:themeColor="text1"/>
            </w:tcBorders>
            <w:shd w:val="clear" w:color="auto" w:fill="FFFFFF" w:themeFill="background1"/>
          </w:tcPr>
          <w:p w14:paraId="024F0BBE" w14:textId="77777777" w:rsidR="003A0361" w:rsidRPr="004632A4" w:rsidRDefault="003A0361" w:rsidP="006D0A42">
            <w:pPr>
              <w:jc w:val="center"/>
              <w:rPr>
                <w:rFonts w:ascii="Tahoma" w:eastAsia="Times New Roman" w:hAnsi="Tahoma" w:cs="Tahoma"/>
                <w:color w:val="000000" w:themeColor="text1"/>
                <w:sz w:val="20"/>
                <w:szCs w:val="20"/>
                <w:lang w:val="en-GB" w:eastAsia="lt-LT"/>
              </w:rPr>
            </w:pPr>
            <w:r w:rsidRPr="004632A4">
              <w:rPr>
                <w:rFonts w:ascii="Tahoma" w:eastAsia="Times New Roman" w:hAnsi="Tahoma" w:cs="Tahoma"/>
                <w:color w:val="000000" w:themeColor="text1"/>
                <w:sz w:val="20"/>
                <w:szCs w:val="20"/>
                <w:lang w:val="en-GB" w:eastAsia="lt-LT"/>
              </w:rPr>
              <w:t>16,6</w:t>
            </w:r>
          </w:p>
        </w:tc>
        <w:tc>
          <w:tcPr>
            <w:tcW w:w="1660" w:type="dxa"/>
            <w:tcBorders>
              <w:bottom w:val="single" w:sz="8" w:space="0" w:color="000000" w:themeColor="text1"/>
              <w:right w:val="single" w:sz="8" w:space="0" w:color="000000" w:themeColor="text1"/>
            </w:tcBorders>
            <w:shd w:val="clear" w:color="auto" w:fill="FFFFFF" w:themeFill="background1"/>
          </w:tcPr>
          <w:p w14:paraId="2D82279B" w14:textId="77777777" w:rsidR="003A0361" w:rsidRPr="004632A4" w:rsidRDefault="003A0361" w:rsidP="006D0A42">
            <w:pPr>
              <w:jc w:val="center"/>
              <w:rPr>
                <w:rFonts w:ascii="Tahoma" w:eastAsia="Times New Roman" w:hAnsi="Tahoma" w:cs="Tahoma"/>
                <w:color w:val="000000" w:themeColor="text1"/>
                <w:sz w:val="20"/>
                <w:szCs w:val="20"/>
                <w:lang w:val="en-GB" w:eastAsia="lt-LT"/>
              </w:rPr>
            </w:pPr>
            <w:r w:rsidRPr="004632A4">
              <w:rPr>
                <w:rFonts w:ascii="Tahoma" w:eastAsia="Times New Roman" w:hAnsi="Tahoma" w:cs="Tahoma"/>
                <w:color w:val="000000" w:themeColor="text1"/>
                <w:sz w:val="20"/>
                <w:szCs w:val="20"/>
                <w:lang w:val="en-GB" w:eastAsia="lt-LT"/>
              </w:rPr>
              <w:t>n/a</w:t>
            </w:r>
          </w:p>
        </w:tc>
        <w:tc>
          <w:tcPr>
            <w:tcW w:w="1559" w:type="dxa"/>
            <w:tcBorders>
              <w:bottom w:val="single" w:sz="8" w:space="0" w:color="000000" w:themeColor="text1"/>
              <w:right w:val="single" w:sz="8" w:space="0" w:color="000000" w:themeColor="text1"/>
            </w:tcBorders>
            <w:shd w:val="clear" w:color="auto" w:fill="FFFFFF" w:themeFill="background1"/>
          </w:tcPr>
          <w:p w14:paraId="753625E5" w14:textId="77777777" w:rsidR="003A0361" w:rsidRPr="004632A4" w:rsidRDefault="003A0361" w:rsidP="006D0A42">
            <w:pPr>
              <w:jc w:val="center"/>
              <w:rPr>
                <w:rFonts w:ascii="Tahoma" w:eastAsia="Times New Roman" w:hAnsi="Tahoma" w:cs="Tahoma"/>
                <w:color w:val="000000" w:themeColor="text1"/>
                <w:sz w:val="20"/>
                <w:szCs w:val="20"/>
                <w:lang w:val="en-GB" w:eastAsia="lt-LT"/>
              </w:rPr>
            </w:pPr>
            <w:r w:rsidRPr="004632A4">
              <w:rPr>
                <w:rFonts w:ascii="Tahoma" w:eastAsia="Times New Roman" w:hAnsi="Tahoma" w:cs="Tahoma"/>
                <w:color w:val="000000" w:themeColor="text1"/>
                <w:sz w:val="20"/>
                <w:szCs w:val="20"/>
                <w:lang w:val="en-GB" w:eastAsia="lt-LT"/>
              </w:rPr>
              <w:t>-</w:t>
            </w:r>
          </w:p>
        </w:tc>
      </w:tr>
      <w:tr w:rsidR="003A0361" w:rsidRPr="004632A4" w14:paraId="147D5B2F" w14:textId="77777777" w:rsidTr="006D0A42">
        <w:tc>
          <w:tcPr>
            <w:tcW w:w="4526" w:type="dxa"/>
            <w:tcBorders>
              <w:left w:val="single" w:sz="8" w:space="0" w:color="000000" w:themeColor="text1"/>
              <w:bottom w:val="single" w:sz="8" w:space="0" w:color="000000" w:themeColor="text1"/>
              <w:right w:val="single" w:sz="8" w:space="0" w:color="000000" w:themeColor="text1"/>
            </w:tcBorders>
            <w:shd w:val="clear" w:color="auto" w:fill="FFFFFF" w:themeFill="background1"/>
            <w:hideMark/>
          </w:tcPr>
          <w:p w14:paraId="1E2642DB" w14:textId="77777777" w:rsidR="003A0361" w:rsidRPr="004632A4" w:rsidRDefault="003A0361" w:rsidP="006D0A42">
            <w:pPr>
              <w:jc w:val="both"/>
              <w:rPr>
                <w:rFonts w:ascii="Tahoma" w:eastAsia="Times New Roman" w:hAnsi="Tahoma" w:cs="Tahoma"/>
                <w:color w:val="000000"/>
                <w:sz w:val="20"/>
                <w:szCs w:val="20"/>
                <w:lang w:val="en-GB" w:eastAsia="lt-LT"/>
              </w:rPr>
            </w:pPr>
            <w:r w:rsidRPr="004632A4">
              <w:rPr>
                <w:rFonts w:ascii="Tahoma" w:eastAsia="Times New Roman" w:hAnsi="Tahoma" w:cs="Tahoma"/>
                <w:color w:val="000000"/>
                <w:sz w:val="20"/>
                <w:szCs w:val="20"/>
                <w:lang w:val="en-GB" w:eastAsia="lt-LT"/>
              </w:rPr>
              <w:t>Adjusted* EBITDA, m</w:t>
            </w:r>
            <w:r>
              <w:rPr>
                <w:rFonts w:ascii="Tahoma" w:eastAsia="Times New Roman" w:hAnsi="Tahoma" w:cs="Tahoma"/>
                <w:color w:val="000000"/>
                <w:sz w:val="20"/>
                <w:szCs w:val="20"/>
                <w:lang w:val="en-GB" w:eastAsia="lt-LT"/>
              </w:rPr>
              <w:t>illion</w:t>
            </w:r>
            <w:r w:rsidRPr="004632A4">
              <w:rPr>
                <w:rFonts w:ascii="Tahoma" w:eastAsia="Times New Roman" w:hAnsi="Tahoma" w:cs="Tahoma"/>
                <w:color w:val="000000"/>
                <w:sz w:val="20"/>
                <w:szCs w:val="20"/>
                <w:lang w:val="en-GB" w:eastAsia="lt-LT"/>
              </w:rPr>
              <w:t xml:space="preserve"> EUR</w:t>
            </w:r>
          </w:p>
        </w:tc>
        <w:tc>
          <w:tcPr>
            <w:tcW w:w="1601" w:type="dxa"/>
            <w:tcBorders>
              <w:bottom w:val="single" w:sz="8" w:space="0" w:color="000000" w:themeColor="text1"/>
              <w:right w:val="single" w:sz="8" w:space="0" w:color="000000" w:themeColor="text1"/>
            </w:tcBorders>
            <w:shd w:val="clear" w:color="auto" w:fill="FFFFFF" w:themeFill="background1"/>
          </w:tcPr>
          <w:p w14:paraId="3CDF8F72" w14:textId="77777777" w:rsidR="003A0361" w:rsidRPr="004632A4" w:rsidRDefault="003A0361" w:rsidP="006D0A42">
            <w:pPr>
              <w:jc w:val="center"/>
              <w:rPr>
                <w:rFonts w:ascii="Tahoma" w:eastAsia="Times New Roman" w:hAnsi="Tahoma" w:cs="Tahoma"/>
                <w:color w:val="000000"/>
                <w:sz w:val="20"/>
                <w:szCs w:val="20"/>
                <w:lang w:val="en-GB" w:eastAsia="lt-LT"/>
              </w:rPr>
            </w:pPr>
            <w:r w:rsidRPr="004632A4">
              <w:rPr>
                <w:rFonts w:ascii="Tahoma" w:eastAsia="Times New Roman" w:hAnsi="Tahoma" w:cs="Tahoma"/>
                <w:color w:val="000000"/>
                <w:sz w:val="20"/>
                <w:szCs w:val="20"/>
                <w:lang w:val="en-GB" w:eastAsia="lt-LT"/>
              </w:rPr>
              <w:t>38,4</w:t>
            </w:r>
          </w:p>
        </w:tc>
        <w:tc>
          <w:tcPr>
            <w:tcW w:w="1660" w:type="dxa"/>
            <w:tcBorders>
              <w:bottom w:val="single" w:sz="8" w:space="0" w:color="000000" w:themeColor="text1"/>
              <w:right w:val="single" w:sz="8" w:space="0" w:color="000000" w:themeColor="text1"/>
            </w:tcBorders>
            <w:shd w:val="clear" w:color="auto" w:fill="FFFFFF" w:themeFill="background1"/>
          </w:tcPr>
          <w:p w14:paraId="678ED19E" w14:textId="77777777" w:rsidR="003A0361" w:rsidRPr="004632A4" w:rsidRDefault="003A0361" w:rsidP="006D0A42">
            <w:pPr>
              <w:jc w:val="center"/>
              <w:rPr>
                <w:rFonts w:ascii="Tahoma" w:eastAsia="Times New Roman" w:hAnsi="Tahoma" w:cs="Tahoma"/>
                <w:color w:val="000000"/>
                <w:sz w:val="20"/>
                <w:szCs w:val="20"/>
                <w:lang w:val="en-GB" w:eastAsia="lt-LT"/>
              </w:rPr>
            </w:pPr>
            <w:r w:rsidRPr="004632A4">
              <w:rPr>
                <w:rFonts w:ascii="Tahoma" w:eastAsia="Times New Roman" w:hAnsi="Tahoma" w:cs="Tahoma"/>
                <w:color w:val="000000"/>
                <w:sz w:val="20"/>
                <w:szCs w:val="20"/>
                <w:lang w:val="en-GB" w:eastAsia="lt-LT"/>
              </w:rPr>
              <w:t>31,5</w:t>
            </w:r>
          </w:p>
        </w:tc>
        <w:tc>
          <w:tcPr>
            <w:tcW w:w="1559" w:type="dxa"/>
            <w:tcBorders>
              <w:bottom w:val="single" w:sz="8" w:space="0" w:color="000000" w:themeColor="text1"/>
              <w:right w:val="single" w:sz="8" w:space="0" w:color="000000" w:themeColor="text1"/>
            </w:tcBorders>
            <w:shd w:val="clear" w:color="auto" w:fill="FFFFFF" w:themeFill="background1"/>
          </w:tcPr>
          <w:p w14:paraId="6D0C85FE" w14:textId="77777777" w:rsidR="003A0361" w:rsidRPr="004632A4" w:rsidRDefault="003A0361" w:rsidP="006D0A42">
            <w:pPr>
              <w:jc w:val="center"/>
              <w:rPr>
                <w:rFonts w:ascii="Tahoma" w:eastAsia="Times New Roman" w:hAnsi="Tahoma" w:cs="Tahoma"/>
                <w:color w:val="000000"/>
                <w:sz w:val="20"/>
                <w:szCs w:val="20"/>
                <w:lang w:val="en-GB" w:eastAsia="lt-LT"/>
              </w:rPr>
            </w:pPr>
            <w:r w:rsidRPr="004632A4">
              <w:rPr>
                <w:rFonts w:ascii="Tahoma" w:eastAsia="Times New Roman" w:hAnsi="Tahoma" w:cs="Tahoma"/>
                <w:color w:val="000000"/>
                <w:sz w:val="20"/>
                <w:szCs w:val="20"/>
                <w:lang w:val="en-GB" w:eastAsia="lt-LT"/>
              </w:rPr>
              <w:t>22,0</w:t>
            </w:r>
          </w:p>
        </w:tc>
      </w:tr>
      <w:tr w:rsidR="003A0361" w:rsidRPr="004632A4" w14:paraId="6903AE2D" w14:textId="77777777" w:rsidTr="006D0A42">
        <w:tc>
          <w:tcPr>
            <w:tcW w:w="4526" w:type="dxa"/>
            <w:tcBorders>
              <w:left w:val="single" w:sz="8" w:space="0" w:color="000000" w:themeColor="text1"/>
              <w:bottom w:val="single" w:sz="8" w:space="0" w:color="000000" w:themeColor="text1"/>
              <w:right w:val="single" w:sz="8" w:space="0" w:color="000000" w:themeColor="text1"/>
            </w:tcBorders>
            <w:shd w:val="clear" w:color="auto" w:fill="FFFFFF" w:themeFill="background1"/>
            <w:hideMark/>
          </w:tcPr>
          <w:p w14:paraId="281FE1EF" w14:textId="77777777" w:rsidR="003A0361" w:rsidRPr="004632A4" w:rsidRDefault="003A0361" w:rsidP="006D0A42">
            <w:pPr>
              <w:jc w:val="both"/>
              <w:rPr>
                <w:rFonts w:ascii="Tahoma" w:eastAsia="Times New Roman" w:hAnsi="Tahoma" w:cs="Tahoma"/>
                <w:color w:val="000000"/>
                <w:sz w:val="20"/>
                <w:szCs w:val="20"/>
                <w:lang w:val="en-GB" w:eastAsia="lt-LT"/>
              </w:rPr>
            </w:pPr>
            <w:r w:rsidRPr="004632A4">
              <w:rPr>
                <w:rFonts w:ascii="Tahoma" w:eastAsia="Times New Roman" w:hAnsi="Tahoma" w:cs="Tahoma"/>
                <w:color w:val="000000"/>
                <w:sz w:val="20"/>
                <w:szCs w:val="20"/>
                <w:lang w:val="en-GB" w:eastAsia="lt-LT"/>
              </w:rPr>
              <w:t>Adjusted* net profit, m</w:t>
            </w:r>
            <w:r>
              <w:rPr>
                <w:rFonts w:ascii="Tahoma" w:eastAsia="Times New Roman" w:hAnsi="Tahoma" w:cs="Tahoma"/>
                <w:color w:val="000000"/>
                <w:sz w:val="20"/>
                <w:szCs w:val="20"/>
                <w:lang w:val="en-GB" w:eastAsia="lt-LT"/>
              </w:rPr>
              <w:t>illion</w:t>
            </w:r>
            <w:r w:rsidRPr="004632A4">
              <w:rPr>
                <w:rFonts w:ascii="Tahoma" w:eastAsia="Times New Roman" w:hAnsi="Tahoma" w:cs="Tahoma"/>
                <w:color w:val="000000"/>
                <w:sz w:val="20"/>
                <w:szCs w:val="20"/>
                <w:lang w:val="en-GB" w:eastAsia="lt-LT"/>
              </w:rPr>
              <w:t xml:space="preserve"> EUR</w:t>
            </w:r>
          </w:p>
        </w:tc>
        <w:tc>
          <w:tcPr>
            <w:tcW w:w="1601" w:type="dxa"/>
            <w:tcBorders>
              <w:bottom w:val="single" w:sz="8" w:space="0" w:color="000000" w:themeColor="text1"/>
              <w:right w:val="single" w:sz="8" w:space="0" w:color="000000" w:themeColor="text1"/>
            </w:tcBorders>
            <w:shd w:val="clear" w:color="auto" w:fill="FFFFFF" w:themeFill="background1"/>
          </w:tcPr>
          <w:p w14:paraId="6A2B48B7" w14:textId="77777777" w:rsidR="003A0361" w:rsidRPr="004632A4" w:rsidRDefault="003A0361" w:rsidP="006D0A42">
            <w:pPr>
              <w:jc w:val="center"/>
              <w:rPr>
                <w:rFonts w:ascii="Tahoma" w:eastAsia="Times New Roman" w:hAnsi="Tahoma" w:cs="Tahoma"/>
                <w:color w:val="000000"/>
                <w:sz w:val="20"/>
                <w:szCs w:val="20"/>
                <w:lang w:val="en-GB" w:eastAsia="lt-LT"/>
              </w:rPr>
            </w:pPr>
            <w:r w:rsidRPr="004632A4">
              <w:rPr>
                <w:rFonts w:ascii="Tahoma" w:eastAsia="Times New Roman" w:hAnsi="Tahoma" w:cs="Tahoma"/>
                <w:color w:val="000000"/>
                <w:sz w:val="20"/>
                <w:szCs w:val="20"/>
                <w:lang w:val="en-GB" w:eastAsia="lt-LT"/>
              </w:rPr>
              <w:t>18,5</w:t>
            </w:r>
          </w:p>
        </w:tc>
        <w:tc>
          <w:tcPr>
            <w:tcW w:w="1660" w:type="dxa"/>
            <w:tcBorders>
              <w:bottom w:val="single" w:sz="8" w:space="0" w:color="000000" w:themeColor="text1"/>
              <w:right w:val="single" w:sz="8" w:space="0" w:color="000000" w:themeColor="text1"/>
            </w:tcBorders>
            <w:shd w:val="clear" w:color="auto" w:fill="FFFFFF" w:themeFill="background1"/>
          </w:tcPr>
          <w:p w14:paraId="19918BD8" w14:textId="77777777" w:rsidR="003A0361" w:rsidRPr="004632A4" w:rsidRDefault="003A0361" w:rsidP="006D0A42">
            <w:pPr>
              <w:jc w:val="center"/>
              <w:rPr>
                <w:rFonts w:ascii="Tahoma" w:eastAsia="Times New Roman" w:hAnsi="Tahoma" w:cs="Tahoma"/>
                <w:color w:val="000000"/>
                <w:sz w:val="20"/>
                <w:szCs w:val="20"/>
                <w:lang w:val="en-GB" w:eastAsia="lt-LT"/>
              </w:rPr>
            </w:pPr>
            <w:r w:rsidRPr="004632A4">
              <w:rPr>
                <w:rFonts w:ascii="Tahoma" w:eastAsia="Times New Roman" w:hAnsi="Tahoma" w:cs="Tahoma"/>
                <w:color w:val="000000"/>
                <w:sz w:val="20"/>
                <w:szCs w:val="20"/>
                <w:lang w:val="en-GB" w:eastAsia="lt-LT"/>
              </w:rPr>
              <w:t>11,5</w:t>
            </w:r>
          </w:p>
        </w:tc>
        <w:tc>
          <w:tcPr>
            <w:tcW w:w="1559" w:type="dxa"/>
            <w:tcBorders>
              <w:bottom w:val="single" w:sz="8" w:space="0" w:color="000000" w:themeColor="text1"/>
              <w:right w:val="single" w:sz="8" w:space="0" w:color="000000" w:themeColor="text1"/>
            </w:tcBorders>
            <w:shd w:val="clear" w:color="auto" w:fill="FFFFFF" w:themeFill="background1"/>
          </w:tcPr>
          <w:p w14:paraId="7FAE9E81" w14:textId="77777777" w:rsidR="003A0361" w:rsidRPr="004632A4" w:rsidRDefault="003A0361" w:rsidP="006D0A42">
            <w:pPr>
              <w:jc w:val="center"/>
              <w:rPr>
                <w:rFonts w:ascii="Tahoma" w:eastAsia="Times New Roman" w:hAnsi="Tahoma" w:cs="Tahoma"/>
                <w:color w:val="000000"/>
                <w:sz w:val="20"/>
                <w:szCs w:val="20"/>
                <w:lang w:val="en-GB" w:eastAsia="lt-LT"/>
              </w:rPr>
            </w:pPr>
            <w:r w:rsidRPr="004632A4">
              <w:rPr>
                <w:rFonts w:ascii="Tahoma" w:eastAsia="Times New Roman" w:hAnsi="Tahoma" w:cs="Tahoma"/>
                <w:color w:val="000000"/>
                <w:sz w:val="20"/>
                <w:szCs w:val="20"/>
                <w:lang w:val="en-GB" w:eastAsia="lt-LT"/>
              </w:rPr>
              <w:t>61,3</w:t>
            </w:r>
          </w:p>
        </w:tc>
      </w:tr>
      <w:tr w:rsidR="003A0361" w:rsidRPr="004632A4" w14:paraId="2BAA8335" w14:textId="77777777" w:rsidTr="006D0A42">
        <w:tc>
          <w:tcPr>
            <w:tcW w:w="4526" w:type="dxa"/>
            <w:tcBorders>
              <w:left w:val="single" w:sz="8" w:space="0" w:color="000000" w:themeColor="text1"/>
              <w:bottom w:val="single" w:sz="8" w:space="0" w:color="000000" w:themeColor="text1"/>
              <w:right w:val="single" w:sz="8" w:space="0" w:color="000000" w:themeColor="text1"/>
            </w:tcBorders>
            <w:shd w:val="clear" w:color="auto" w:fill="FFFFFF" w:themeFill="background1"/>
            <w:hideMark/>
          </w:tcPr>
          <w:p w14:paraId="4D3DE32B" w14:textId="77777777" w:rsidR="003A0361" w:rsidRPr="004632A4" w:rsidRDefault="003A0361" w:rsidP="006D0A42">
            <w:pPr>
              <w:jc w:val="both"/>
              <w:rPr>
                <w:rFonts w:ascii="Tahoma" w:eastAsia="Times New Roman" w:hAnsi="Tahoma" w:cs="Tahoma"/>
                <w:color w:val="000000"/>
                <w:sz w:val="20"/>
                <w:szCs w:val="20"/>
                <w:lang w:val="en-GB" w:eastAsia="lt-LT"/>
              </w:rPr>
            </w:pPr>
            <w:r w:rsidRPr="004632A4">
              <w:rPr>
                <w:rFonts w:ascii="Tahoma" w:eastAsia="Times New Roman" w:hAnsi="Tahoma" w:cs="Tahoma"/>
                <w:color w:val="000000"/>
                <w:sz w:val="20"/>
                <w:szCs w:val="20"/>
                <w:lang w:val="en-GB" w:eastAsia="lt-LT"/>
              </w:rPr>
              <w:t>Adjusted* ROE (last 12 months), %</w:t>
            </w:r>
          </w:p>
        </w:tc>
        <w:tc>
          <w:tcPr>
            <w:tcW w:w="1601" w:type="dxa"/>
            <w:tcBorders>
              <w:bottom w:val="single" w:sz="8" w:space="0" w:color="000000" w:themeColor="text1"/>
              <w:right w:val="single" w:sz="8" w:space="0" w:color="000000" w:themeColor="text1"/>
            </w:tcBorders>
            <w:shd w:val="clear" w:color="auto" w:fill="FFFFFF" w:themeFill="background1"/>
          </w:tcPr>
          <w:p w14:paraId="5A40B4E6" w14:textId="77777777" w:rsidR="003A0361" w:rsidRPr="004632A4" w:rsidRDefault="003A0361" w:rsidP="006D0A42">
            <w:pPr>
              <w:jc w:val="center"/>
              <w:rPr>
                <w:rFonts w:ascii="Tahoma" w:eastAsia="Times New Roman" w:hAnsi="Tahoma" w:cs="Tahoma"/>
                <w:color w:val="000000"/>
                <w:sz w:val="20"/>
                <w:szCs w:val="20"/>
                <w:lang w:val="en-GB" w:eastAsia="lt-LT"/>
              </w:rPr>
            </w:pPr>
            <w:r w:rsidRPr="004632A4">
              <w:rPr>
                <w:rFonts w:ascii="Tahoma" w:eastAsia="Times New Roman" w:hAnsi="Tahoma" w:cs="Tahoma"/>
                <w:color w:val="000000"/>
                <w:sz w:val="20"/>
                <w:szCs w:val="20"/>
                <w:lang w:val="en-GB" w:eastAsia="lt-LT"/>
              </w:rPr>
              <w:t>10,0</w:t>
            </w:r>
          </w:p>
        </w:tc>
        <w:tc>
          <w:tcPr>
            <w:tcW w:w="1660" w:type="dxa"/>
            <w:tcBorders>
              <w:bottom w:val="single" w:sz="8" w:space="0" w:color="000000" w:themeColor="text1"/>
              <w:right w:val="single" w:sz="8" w:space="0" w:color="000000" w:themeColor="text1"/>
            </w:tcBorders>
            <w:shd w:val="clear" w:color="auto" w:fill="FFFFFF" w:themeFill="background1"/>
          </w:tcPr>
          <w:p w14:paraId="7F68B1F2" w14:textId="77777777" w:rsidR="003A0361" w:rsidRPr="004632A4" w:rsidRDefault="003A0361" w:rsidP="006D0A42">
            <w:pPr>
              <w:jc w:val="center"/>
              <w:rPr>
                <w:rFonts w:ascii="Tahoma" w:eastAsia="Times New Roman" w:hAnsi="Tahoma" w:cs="Tahoma"/>
                <w:color w:val="000000"/>
                <w:sz w:val="20"/>
                <w:szCs w:val="20"/>
                <w:lang w:val="en-GB" w:eastAsia="lt-LT"/>
              </w:rPr>
            </w:pPr>
            <w:r w:rsidRPr="004632A4">
              <w:rPr>
                <w:rFonts w:ascii="Tahoma" w:eastAsia="Times New Roman" w:hAnsi="Tahoma" w:cs="Tahoma"/>
                <w:color w:val="000000" w:themeColor="text1"/>
                <w:sz w:val="20"/>
                <w:szCs w:val="20"/>
                <w:lang w:val="en-GB" w:eastAsia="lt-LT"/>
              </w:rPr>
              <w:t>9,5</w:t>
            </w:r>
          </w:p>
        </w:tc>
        <w:tc>
          <w:tcPr>
            <w:tcW w:w="1559" w:type="dxa"/>
            <w:tcBorders>
              <w:bottom w:val="single" w:sz="8" w:space="0" w:color="000000" w:themeColor="text1"/>
              <w:right w:val="single" w:sz="8" w:space="0" w:color="000000" w:themeColor="text1"/>
            </w:tcBorders>
            <w:shd w:val="clear" w:color="auto" w:fill="FFFFFF" w:themeFill="background1"/>
          </w:tcPr>
          <w:p w14:paraId="6E7F7B4F" w14:textId="77777777" w:rsidR="003A0361" w:rsidRPr="004632A4" w:rsidRDefault="003A0361" w:rsidP="006D0A42">
            <w:pPr>
              <w:jc w:val="center"/>
              <w:rPr>
                <w:rFonts w:ascii="Tahoma" w:eastAsia="Times New Roman" w:hAnsi="Tahoma" w:cs="Tahoma"/>
                <w:color w:val="000000"/>
                <w:sz w:val="20"/>
                <w:szCs w:val="20"/>
                <w:lang w:val="en-GB" w:eastAsia="lt-LT"/>
              </w:rPr>
            </w:pPr>
            <w:r w:rsidRPr="004632A4">
              <w:rPr>
                <w:rFonts w:ascii="Tahoma" w:eastAsia="Times New Roman" w:hAnsi="Tahoma" w:cs="Tahoma"/>
                <w:color w:val="000000"/>
                <w:sz w:val="20"/>
                <w:szCs w:val="20"/>
                <w:lang w:val="en-GB" w:eastAsia="lt-LT"/>
              </w:rPr>
              <w:t>-</w:t>
            </w:r>
          </w:p>
        </w:tc>
      </w:tr>
      <w:tr w:rsidR="003A0361" w:rsidRPr="004632A4" w14:paraId="06D3DE79" w14:textId="77777777" w:rsidTr="006D0A42">
        <w:trPr>
          <w:trHeight w:val="300"/>
        </w:trPr>
        <w:tc>
          <w:tcPr>
            <w:tcW w:w="4526" w:type="dxa"/>
            <w:tcBorders>
              <w:left w:val="single" w:sz="8" w:space="0" w:color="000000" w:themeColor="text1"/>
              <w:bottom w:val="single" w:sz="8" w:space="0" w:color="000000" w:themeColor="text1"/>
              <w:right w:val="single" w:sz="8" w:space="0" w:color="000000" w:themeColor="text1"/>
            </w:tcBorders>
            <w:shd w:val="clear" w:color="auto" w:fill="FFFFFF" w:themeFill="background1"/>
            <w:hideMark/>
          </w:tcPr>
          <w:p w14:paraId="47784552" w14:textId="77777777" w:rsidR="003A0361" w:rsidRPr="004632A4" w:rsidRDefault="003A0361" w:rsidP="006D0A42">
            <w:pPr>
              <w:jc w:val="both"/>
              <w:rPr>
                <w:rFonts w:ascii="Tahoma" w:eastAsia="Times New Roman" w:hAnsi="Tahoma" w:cs="Tahoma"/>
                <w:color w:val="000000" w:themeColor="text1"/>
                <w:sz w:val="20"/>
                <w:szCs w:val="20"/>
                <w:lang w:val="en-GB" w:eastAsia="lt-LT"/>
              </w:rPr>
            </w:pPr>
            <w:r w:rsidRPr="004632A4">
              <w:rPr>
                <w:rFonts w:ascii="Tahoma" w:eastAsia="Times New Roman" w:hAnsi="Tahoma" w:cs="Tahoma"/>
                <w:color w:val="000000" w:themeColor="text1"/>
                <w:sz w:val="20"/>
                <w:szCs w:val="20"/>
                <w:lang w:val="en-GB" w:eastAsia="lt-LT"/>
              </w:rPr>
              <w:t>Ratio of net debt to adjusted EBITDA (last 12 months).</w:t>
            </w:r>
          </w:p>
        </w:tc>
        <w:tc>
          <w:tcPr>
            <w:tcW w:w="1601" w:type="dxa"/>
            <w:tcBorders>
              <w:bottom w:val="single" w:sz="8" w:space="0" w:color="000000" w:themeColor="text1"/>
              <w:right w:val="single" w:sz="8" w:space="0" w:color="000000" w:themeColor="text1"/>
            </w:tcBorders>
            <w:shd w:val="clear" w:color="auto" w:fill="FFFFFF" w:themeFill="background1"/>
          </w:tcPr>
          <w:p w14:paraId="6C08360D" w14:textId="77777777" w:rsidR="003A0361" w:rsidRPr="004632A4" w:rsidRDefault="003A0361" w:rsidP="006D0A42">
            <w:pPr>
              <w:jc w:val="center"/>
              <w:rPr>
                <w:rFonts w:ascii="Tahoma" w:eastAsia="Times New Roman" w:hAnsi="Tahoma" w:cs="Tahoma"/>
                <w:color w:val="000000" w:themeColor="text1"/>
                <w:sz w:val="20"/>
                <w:szCs w:val="20"/>
                <w:lang w:val="en-GB" w:eastAsia="lt-LT"/>
              </w:rPr>
            </w:pPr>
            <w:r w:rsidRPr="004632A4">
              <w:rPr>
                <w:rFonts w:ascii="Tahoma" w:eastAsia="Times New Roman" w:hAnsi="Tahoma" w:cs="Tahoma"/>
                <w:color w:val="000000" w:themeColor="text1"/>
                <w:sz w:val="20"/>
                <w:szCs w:val="20"/>
                <w:lang w:val="en-GB" w:eastAsia="lt-LT"/>
              </w:rPr>
              <w:t>0,3</w:t>
            </w:r>
          </w:p>
        </w:tc>
        <w:tc>
          <w:tcPr>
            <w:tcW w:w="1660" w:type="dxa"/>
            <w:tcBorders>
              <w:bottom w:val="single" w:sz="8" w:space="0" w:color="000000" w:themeColor="text1"/>
              <w:right w:val="single" w:sz="8" w:space="0" w:color="000000" w:themeColor="text1"/>
            </w:tcBorders>
            <w:shd w:val="clear" w:color="auto" w:fill="FFFFFF" w:themeFill="background1"/>
          </w:tcPr>
          <w:p w14:paraId="120E73B5" w14:textId="77777777" w:rsidR="003A0361" w:rsidRPr="004632A4" w:rsidRDefault="003A0361" w:rsidP="006D0A42">
            <w:pPr>
              <w:jc w:val="center"/>
              <w:rPr>
                <w:rFonts w:ascii="Tahoma" w:eastAsia="Times New Roman" w:hAnsi="Tahoma" w:cs="Tahoma"/>
                <w:color w:val="000000" w:themeColor="text1"/>
                <w:sz w:val="20"/>
                <w:szCs w:val="20"/>
                <w:lang w:val="en-GB" w:eastAsia="lt-LT"/>
              </w:rPr>
            </w:pPr>
            <w:r w:rsidRPr="004632A4">
              <w:rPr>
                <w:rFonts w:ascii="Tahoma" w:eastAsia="Times New Roman" w:hAnsi="Tahoma" w:cs="Tahoma"/>
                <w:color w:val="000000" w:themeColor="text1"/>
                <w:sz w:val="20"/>
                <w:szCs w:val="20"/>
                <w:lang w:val="en-GB" w:eastAsia="lt-LT"/>
              </w:rPr>
              <w:t>n/a</w:t>
            </w:r>
          </w:p>
        </w:tc>
        <w:tc>
          <w:tcPr>
            <w:tcW w:w="1559" w:type="dxa"/>
            <w:tcBorders>
              <w:bottom w:val="single" w:sz="8" w:space="0" w:color="000000" w:themeColor="text1"/>
              <w:right w:val="single" w:sz="8" w:space="0" w:color="000000" w:themeColor="text1"/>
            </w:tcBorders>
            <w:shd w:val="clear" w:color="auto" w:fill="FFFFFF" w:themeFill="background1"/>
          </w:tcPr>
          <w:p w14:paraId="4F799848" w14:textId="77777777" w:rsidR="003A0361" w:rsidRPr="004632A4" w:rsidRDefault="003A0361" w:rsidP="006D0A42">
            <w:pPr>
              <w:jc w:val="center"/>
              <w:rPr>
                <w:rFonts w:ascii="Tahoma" w:eastAsia="Times New Roman" w:hAnsi="Tahoma" w:cs="Tahoma"/>
                <w:color w:val="000000" w:themeColor="text1"/>
                <w:sz w:val="20"/>
                <w:szCs w:val="20"/>
                <w:lang w:val="en-GB" w:eastAsia="lt-LT"/>
              </w:rPr>
            </w:pPr>
            <w:r w:rsidRPr="004632A4">
              <w:rPr>
                <w:rFonts w:ascii="Tahoma" w:eastAsia="Times New Roman" w:hAnsi="Tahoma" w:cs="Tahoma"/>
                <w:color w:val="000000" w:themeColor="text1"/>
                <w:sz w:val="20"/>
                <w:szCs w:val="20"/>
                <w:lang w:val="en-GB" w:eastAsia="lt-LT"/>
              </w:rPr>
              <w:t>-</w:t>
            </w:r>
          </w:p>
        </w:tc>
      </w:tr>
    </w:tbl>
    <w:p w14:paraId="090A730B" w14:textId="77777777" w:rsidR="003A0361" w:rsidRPr="004632A4" w:rsidRDefault="003A0361" w:rsidP="003A0361">
      <w:pPr>
        <w:shd w:val="clear" w:color="auto" w:fill="FFFFFF"/>
        <w:spacing w:before="100" w:beforeAutospacing="1" w:after="100" w:afterAutospacing="1"/>
        <w:jc w:val="both"/>
        <w:rPr>
          <w:rFonts w:ascii="Tahoma" w:eastAsia="Times New Roman" w:hAnsi="Tahoma" w:cs="Tahoma"/>
          <w:color w:val="000000"/>
          <w:sz w:val="18"/>
          <w:szCs w:val="18"/>
          <w:lang w:val="en-GB" w:eastAsia="lt-LT"/>
        </w:rPr>
      </w:pPr>
      <w:r w:rsidRPr="004632A4">
        <w:rPr>
          <w:rFonts w:ascii="Tahoma" w:eastAsia="Times New Roman" w:hAnsi="Tahoma" w:cs="Tahoma"/>
          <w:color w:val="000000"/>
          <w:sz w:val="20"/>
          <w:szCs w:val="20"/>
          <w:lang w:val="en-GB" w:eastAsia="lt-LT"/>
        </w:rPr>
        <w:t xml:space="preserve">* </w:t>
      </w:r>
      <w:r w:rsidRPr="004632A4">
        <w:rPr>
          <w:rFonts w:ascii="Tahoma" w:eastAsia="Times New Roman" w:hAnsi="Tahoma" w:cs="Tahoma"/>
          <w:color w:val="000000"/>
          <w:sz w:val="18"/>
          <w:szCs w:val="18"/>
          <w:lang w:val="en-GB" w:eastAsia="lt-LT"/>
        </w:rPr>
        <w:t>Recalculation of regulated income, cost and profitability indicators is carried out due to temporary regulatory deviations from the regulated profitability approved by the National Energy Regulatory Council (NERC). In calculating the adjusted indicators, adjustment of income due to previous periods is assessed. By decision of NERC, such adjustment has already been approved by determining the regulated prices of transmission services for the reporting period, and deviation from the NERC approved (regulated) and actual profitability of the reporting period is assessed. This deviation will be assessed when NERC will set transmission prices for the upcoming period.</w:t>
      </w:r>
    </w:p>
    <w:p w14:paraId="70EC317A" w14:textId="77777777" w:rsidR="003A0361" w:rsidRPr="004632A4" w:rsidRDefault="003A0361" w:rsidP="003A0361">
      <w:pPr>
        <w:shd w:val="clear" w:color="auto" w:fill="FFFFFF"/>
        <w:spacing w:before="100" w:beforeAutospacing="1" w:after="100" w:afterAutospacing="1"/>
        <w:jc w:val="both"/>
        <w:rPr>
          <w:rFonts w:ascii="Tahoma" w:eastAsia="Times New Roman" w:hAnsi="Tahoma" w:cs="Tahoma"/>
          <w:color w:val="000000"/>
          <w:lang w:val="en-GB" w:eastAsia="lt-LT"/>
        </w:rPr>
      </w:pPr>
      <w:r w:rsidRPr="004632A4">
        <w:rPr>
          <w:rFonts w:ascii="Tahoma" w:eastAsia="Times New Roman" w:hAnsi="Tahoma" w:cs="Tahoma"/>
          <w:color w:val="000000"/>
          <w:lang w:val="en-GB" w:eastAsia="lt-LT"/>
        </w:rPr>
        <w:t xml:space="preserve">Enclosed: condensed consolidated and separate financial statements of EPSO-G group of 30 June 2024; press release. </w:t>
      </w:r>
    </w:p>
    <w:p w14:paraId="30331646" w14:textId="77777777" w:rsidR="003A0361" w:rsidRPr="004632A4" w:rsidRDefault="003A0361" w:rsidP="003A0361">
      <w:pPr>
        <w:shd w:val="clear" w:color="auto" w:fill="FFFFFF"/>
        <w:spacing w:before="100" w:beforeAutospacing="1" w:after="100" w:afterAutospacing="1"/>
        <w:rPr>
          <w:rFonts w:ascii="Tahoma" w:eastAsia="Times New Roman" w:hAnsi="Tahoma" w:cs="Tahoma"/>
          <w:color w:val="000000"/>
          <w:sz w:val="20"/>
          <w:szCs w:val="20"/>
          <w:lang w:val="en-GB" w:eastAsia="lt-LT"/>
        </w:rPr>
      </w:pPr>
      <w:r w:rsidRPr="004632A4">
        <w:rPr>
          <w:rFonts w:ascii="Tahoma" w:eastAsia="Times New Roman" w:hAnsi="Tahoma" w:cs="Tahoma"/>
          <w:b/>
          <w:bCs/>
          <w:color w:val="000000"/>
          <w:sz w:val="20"/>
          <w:szCs w:val="20"/>
          <w:lang w:val="en-GB" w:eastAsia="lt-LT"/>
        </w:rPr>
        <w:t xml:space="preserve">More information </w:t>
      </w:r>
      <w:r w:rsidRPr="004632A4">
        <w:rPr>
          <w:rFonts w:ascii="Tahoma" w:eastAsia="Times New Roman" w:hAnsi="Tahoma" w:cs="Tahoma"/>
          <w:color w:val="000000"/>
          <w:sz w:val="20"/>
          <w:szCs w:val="20"/>
          <w:lang w:val="en-GB" w:eastAsia="lt-LT"/>
        </w:rPr>
        <w:br/>
        <w:t xml:space="preserve">Gediminas Petrauskas, </w:t>
      </w:r>
      <w:r w:rsidRPr="004632A4">
        <w:rPr>
          <w:rFonts w:ascii="Tahoma" w:hAnsi="Tahoma" w:cs="Tahoma"/>
          <w:color w:val="0D0D0D" w:themeColor="text1" w:themeTint="F2"/>
          <w:sz w:val="20"/>
          <w:szCs w:val="20"/>
          <w:lang w:val="en-GB"/>
        </w:rPr>
        <w:t>EPSO-G Communication Partner</w:t>
      </w:r>
      <w:r w:rsidRPr="004632A4">
        <w:rPr>
          <w:rFonts w:ascii="Tahoma" w:eastAsia="Times New Roman" w:hAnsi="Tahoma" w:cs="Tahoma"/>
          <w:color w:val="000000"/>
          <w:sz w:val="20"/>
          <w:szCs w:val="20"/>
          <w:lang w:val="en-GB" w:eastAsia="lt-LT"/>
        </w:rPr>
        <w:br/>
        <w:t>Tel. +370 610 63306, e-mail </w:t>
      </w:r>
      <w:hyperlink r:id="rId12" w:tgtFrame="_blank" w:history="1">
        <w:r w:rsidRPr="004632A4">
          <w:rPr>
            <w:rFonts w:ascii="Tahoma" w:eastAsia="Times New Roman" w:hAnsi="Tahoma" w:cs="Tahoma"/>
            <w:color w:val="0000FF"/>
            <w:sz w:val="20"/>
            <w:szCs w:val="20"/>
            <w:u w:val="single"/>
            <w:lang w:val="en-GB" w:eastAsia="lt-LT"/>
          </w:rPr>
          <w:t>gediminas.petrauskas@epsog.lt</w:t>
        </w:r>
      </w:hyperlink>
    </w:p>
    <w:p w14:paraId="551CCB76" w14:textId="77777777" w:rsidR="003A0361" w:rsidRPr="004632A4" w:rsidRDefault="003A0361" w:rsidP="00FE5322">
      <w:pPr>
        <w:pStyle w:val="NoSpacing"/>
        <w:jc w:val="both"/>
        <w:rPr>
          <w:rStyle w:val="Hyperlink"/>
          <w:rFonts w:ascii="Tahoma" w:hAnsi="Tahoma" w:cs="Tahoma"/>
          <w:lang w:val="en-GB"/>
        </w:rPr>
      </w:pPr>
    </w:p>
    <w:sectPr w:rsidR="003A0361" w:rsidRPr="004632A4" w:rsidSect="00D76F09">
      <w:headerReference w:type="default" r:id="rId13"/>
      <w:footerReference w:type="even" r:id="rId14"/>
      <w:footerReference w:type="default" r:id="rId15"/>
      <w:pgSz w:w="11906" w:h="16838"/>
      <w:pgMar w:top="1702" w:right="1133" w:bottom="426" w:left="1418" w:header="851"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342917" w14:textId="77777777" w:rsidR="00155677" w:rsidRDefault="00155677" w:rsidP="00F63D26">
      <w:r>
        <w:separator/>
      </w:r>
    </w:p>
  </w:endnote>
  <w:endnote w:type="continuationSeparator" w:id="0">
    <w:p w14:paraId="3BE8982E" w14:textId="77777777" w:rsidR="00155677" w:rsidRDefault="00155677" w:rsidP="00F63D26">
      <w:r>
        <w:continuationSeparator/>
      </w:r>
    </w:p>
  </w:endnote>
  <w:endnote w:type="continuationNotice" w:id="1">
    <w:p w14:paraId="0A0B88E1" w14:textId="77777777" w:rsidR="00155677" w:rsidRDefault="001556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3B0635" w14:textId="77777777" w:rsidR="00CE23E0" w:rsidRDefault="00CE23E0" w:rsidP="001422C9">
    <w:pPr>
      <w:pStyle w:val="Foot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391C9549" w14:textId="77777777" w:rsidR="00B823F3" w:rsidRDefault="00B823F3" w:rsidP="00CE23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ABCB6D" w14:textId="77777777" w:rsidR="00B823F3" w:rsidRDefault="00B823F3" w:rsidP="00CE23E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198773" w14:textId="77777777" w:rsidR="00155677" w:rsidRDefault="00155677" w:rsidP="00F63D26">
      <w:r>
        <w:separator/>
      </w:r>
    </w:p>
  </w:footnote>
  <w:footnote w:type="continuationSeparator" w:id="0">
    <w:p w14:paraId="173C2FAF" w14:textId="77777777" w:rsidR="00155677" w:rsidRDefault="00155677" w:rsidP="00F63D26">
      <w:r>
        <w:continuationSeparator/>
      </w:r>
    </w:p>
  </w:footnote>
  <w:footnote w:type="continuationNotice" w:id="1">
    <w:p w14:paraId="7E8296D0" w14:textId="77777777" w:rsidR="00155677" w:rsidRDefault="001556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EC3EAF" w14:textId="0E286B17" w:rsidR="003031C0" w:rsidRDefault="00E54C29" w:rsidP="00771614">
    <w:pPr>
      <w:pStyle w:val="Header"/>
    </w:pPr>
    <w:r>
      <w:rPr>
        <w:noProof/>
      </w:rPr>
      <w:drawing>
        <wp:inline distT="0" distB="0" distL="0" distR="0" wp14:anchorId="37EE4114" wp14:editId="483B90CC">
          <wp:extent cx="1323975" cy="334713"/>
          <wp:effectExtent l="0" t="0" r="0" b="8255"/>
          <wp:docPr id="2147423637" name="Picture 2147423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4467" cy="34242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CD680C"/>
    <w:multiLevelType w:val="hybridMultilevel"/>
    <w:tmpl w:val="C66E0B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B130D06"/>
    <w:multiLevelType w:val="hybridMultilevel"/>
    <w:tmpl w:val="93885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D71626E"/>
    <w:multiLevelType w:val="hybridMultilevel"/>
    <w:tmpl w:val="D206E1D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120E613A"/>
    <w:multiLevelType w:val="hybridMultilevel"/>
    <w:tmpl w:val="70587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972D13"/>
    <w:multiLevelType w:val="multilevel"/>
    <w:tmpl w:val="F00EF4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0C1044"/>
    <w:multiLevelType w:val="hybridMultilevel"/>
    <w:tmpl w:val="426A7322"/>
    <w:lvl w:ilvl="0" w:tplc="0427000B">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26E54669"/>
    <w:multiLevelType w:val="hybridMultilevel"/>
    <w:tmpl w:val="BFE8D4F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 w15:restartNumberingAfterBreak="0">
    <w:nsid w:val="29CB1387"/>
    <w:multiLevelType w:val="hybridMultilevel"/>
    <w:tmpl w:val="A5DA23E6"/>
    <w:lvl w:ilvl="0" w:tplc="04090013">
      <w:start w:val="1"/>
      <w:numFmt w:val="upperRoman"/>
      <w:lvlText w:val="%1."/>
      <w:lvlJc w:val="right"/>
      <w:pPr>
        <w:ind w:left="1440" w:hanging="360"/>
      </w:p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2B9C401A"/>
    <w:multiLevelType w:val="hybridMultilevel"/>
    <w:tmpl w:val="A91866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9A77E4D"/>
    <w:multiLevelType w:val="multilevel"/>
    <w:tmpl w:val="5A3AF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A9267A"/>
    <w:multiLevelType w:val="multilevel"/>
    <w:tmpl w:val="BD7A6C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C2F1000"/>
    <w:multiLevelType w:val="hybridMultilevel"/>
    <w:tmpl w:val="F5EACD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D3409C5"/>
    <w:multiLevelType w:val="hybridMultilevel"/>
    <w:tmpl w:val="AD122C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0AF0723"/>
    <w:multiLevelType w:val="multilevel"/>
    <w:tmpl w:val="DA8E2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08775C"/>
    <w:multiLevelType w:val="hybridMultilevel"/>
    <w:tmpl w:val="BF885D5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639160C"/>
    <w:multiLevelType w:val="hybridMultilevel"/>
    <w:tmpl w:val="C3FAFE6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15428A0"/>
    <w:multiLevelType w:val="hybridMultilevel"/>
    <w:tmpl w:val="C6F67192"/>
    <w:lvl w:ilvl="0" w:tplc="A0F2FDC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41F14C3"/>
    <w:multiLevelType w:val="hybridMultilevel"/>
    <w:tmpl w:val="5A18D860"/>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num w:numId="1" w16cid:durableId="575167217">
    <w:abstractNumId w:val="4"/>
  </w:num>
  <w:num w:numId="2" w16cid:durableId="918251935">
    <w:abstractNumId w:val="12"/>
  </w:num>
  <w:num w:numId="3" w16cid:durableId="484786229">
    <w:abstractNumId w:val="6"/>
  </w:num>
  <w:num w:numId="4" w16cid:durableId="1604797859">
    <w:abstractNumId w:val="15"/>
  </w:num>
  <w:num w:numId="5" w16cid:durableId="1296646095">
    <w:abstractNumId w:val="1"/>
  </w:num>
  <w:num w:numId="6" w16cid:durableId="814837252">
    <w:abstractNumId w:val="11"/>
  </w:num>
  <w:num w:numId="7" w16cid:durableId="871578147">
    <w:abstractNumId w:val="7"/>
  </w:num>
  <w:num w:numId="8" w16cid:durableId="1661805847">
    <w:abstractNumId w:val="14"/>
  </w:num>
  <w:num w:numId="9" w16cid:durableId="1879199462">
    <w:abstractNumId w:val="16"/>
  </w:num>
  <w:num w:numId="10" w16cid:durableId="161756460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06348421">
    <w:abstractNumId w:val="0"/>
  </w:num>
  <w:num w:numId="12" w16cid:durableId="401146729">
    <w:abstractNumId w:val="5"/>
  </w:num>
  <w:num w:numId="13" w16cid:durableId="18113636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34336387">
    <w:abstractNumId w:val="3"/>
  </w:num>
  <w:num w:numId="15" w16cid:durableId="1807427856">
    <w:abstractNumId w:val="9"/>
  </w:num>
  <w:num w:numId="16" w16cid:durableId="105926659">
    <w:abstractNumId w:val="13"/>
  </w:num>
  <w:num w:numId="17" w16cid:durableId="1784111069">
    <w:abstractNumId w:val="8"/>
  </w:num>
  <w:num w:numId="18" w16cid:durableId="957880185">
    <w:abstractNumId w:val="17"/>
  </w:num>
  <w:num w:numId="19" w16cid:durableId="788545798">
    <w:abstractNumId w:val="17"/>
  </w:num>
  <w:num w:numId="20" w16cid:durableId="28341510">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D26"/>
    <w:rsid w:val="0000003F"/>
    <w:rsid w:val="0000033B"/>
    <w:rsid w:val="00000BFB"/>
    <w:rsid w:val="00001BA4"/>
    <w:rsid w:val="00001EA9"/>
    <w:rsid w:val="00003893"/>
    <w:rsid w:val="0000413E"/>
    <w:rsid w:val="00004586"/>
    <w:rsid w:val="000045B4"/>
    <w:rsid w:val="00004F31"/>
    <w:rsid w:val="00006F11"/>
    <w:rsid w:val="00010C66"/>
    <w:rsid w:val="00010D31"/>
    <w:rsid w:val="00011D51"/>
    <w:rsid w:val="0001307B"/>
    <w:rsid w:val="00013404"/>
    <w:rsid w:val="00014D20"/>
    <w:rsid w:val="00015971"/>
    <w:rsid w:val="00017094"/>
    <w:rsid w:val="000170F8"/>
    <w:rsid w:val="0001770C"/>
    <w:rsid w:val="00017B5D"/>
    <w:rsid w:val="0002096E"/>
    <w:rsid w:val="000211F8"/>
    <w:rsid w:val="00022967"/>
    <w:rsid w:val="00022B7B"/>
    <w:rsid w:val="00022ECE"/>
    <w:rsid w:val="0002300A"/>
    <w:rsid w:val="0002475E"/>
    <w:rsid w:val="00027E1C"/>
    <w:rsid w:val="000305CB"/>
    <w:rsid w:val="00030FFF"/>
    <w:rsid w:val="00031133"/>
    <w:rsid w:val="00031DA5"/>
    <w:rsid w:val="00032B1F"/>
    <w:rsid w:val="00034D8F"/>
    <w:rsid w:val="00035040"/>
    <w:rsid w:val="0003521E"/>
    <w:rsid w:val="00036350"/>
    <w:rsid w:val="00036A05"/>
    <w:rsid w:val="00036F2A"/>
    <w:rsid w:val="000377D4"/>
    <w:rsid w:val="00043BD7"/>
    <w:rsid w:val="000455B7"/>
    <w:rsid w:val="0004643C"/>
    <w:rsid w:val="000513EC"/>
    <w:rsid w:val="00051D77"/>
    <w:rsid w:val="0005278F"/>
    <w:rsid w:val="0005478E"/>
    <w:rsid w:val="0005539F"/>
    <w:rsid w:val="00055AED"/>
    <w:rsid w:val="000569FE"/>
    <w:rsid w:val="00057D07"/>
    <w:rsid w:val="00060066"/>
    <w:rsid w:val="00060682"/>
    <w:rsid w:val="00060C83"/>
    <w:rsid w:val="000616B5"/>
    <w:rsid w:val="0006225C"/>
    <w:rsid w:val="000628A8"/>
    <w:rsid w:val="00062E60"/>
    <w:rsid w:val="000636BA"/>
    <w:rsid w:val="0006384C"/>
    <w:rsid w:val="00064093"/>
    <w:rsid w:val="00064B04"/>
    <w:rsid w:val="00065EB9"/>
    <w:rsid w:val="000662E8"/>
    <w:rsid w:val="000701A3"/>
    <w:rsid w:val="000708EA"/>
    <w:rsid w:val="000718FB"/>
    <w:rsid w:val="0007431E"/>
    <w:rsid w:val="00074642"/>
    <w:rsid w:val="00074F3D"/>
    <w:rsid w:val="0007567A"/>
    <w:rsid w:val="000762F2"/>
    <w:rsid w:val="000765A8"/>
    <w:rsid w:val="00077736"/>
    <w:rsid w:val="00077ABB"/>
    <w:rsid w:val="000800FB"/>
    <w:rsid w:val="00080BA5"/>
    <w:rsid w:val="000832B2"/>
    <w:rsid w:val="00084198"/>
    <w:rsid w:val="00084208"/>
    <w:rsid w:val="00084739"/>
    <w:rsid w:val="00085577"/>
    <w:rsid w:val="000857F7"/>
    <w:rsid w:val="00085C0C"/>
    <w:rsid w:val="00085C38"/>
    <w:rsid w:val="00086888"/>
    <w:rsid w:val="000900D4"/>
    <w:rsid w:val="0009061A"/>
    <w:rsid w:val="00090C95"/>
    <w:rsid w:val="000913BC"/>
    <w:rsid w:val="00091FA3"/>
    <w:rsid w:val="00092194"/>
    <w:rsid w:val="000923A6"/>
    <w:rsid w:val="000925E5"/>
    <w:rsid w:val="00092F81"/>
    <w:rsid w:val="000944F2"/>
    <w:rsid w:val="000945EF"/>
    <w:rsid w:val="00095037"/>
    <w:rsid w:val="0009724D"/>
    <w:rsid w:val="00097A4D"/>
    <w:rsid w:val="00097EC1"/>
    <w:rsid w:val="000A2351"/>
    <w:rsid w:val="000A3A99"/>
    <w:rsid w:val="000A45A8"/>
    <w:rsid w:val="000A5D7F"/>
    <w:rsid w:val="000A6C35"/>
    <w:rsid w:val="000A79B9"/>
    <w:rsid w:val="000B030E"/>
    <w:rsid w:val="000B0764"/>
    <w:rsid w:val="000B07F2"/>
    <w:rsid w:val="000B0A71"/>
    <w:rsid w:val="000B0C9B"/>
    <w:rsid w:val="000B0FC1"/>
    <w:rsid w:val="000B140B"/>
    <w:rsid w:val="000B1551"/>
    <w:rsid w:val="000B1BEF"/>
    <w:rsid w:val="000B1EE6"/>
    <w:rsid w:val="000B27C1"/>
    <w:rsid w:val="000B31C7"/>
    <w:rsid w:val="000B5EE8"/>
    <w:rsid w:val="000B5FAD"/>
    <w:rsid w:val="000B61CF"/>
    <w:rsid w:val="000B6464"/>
    <w:rsid w:val="000B6472"/>
    <w:rsid w:val="000B6540"/>
    <w:rsid w:val="000B702E"/>
    <w:rsid w:val="000B752A"/>
    <w:rsid w:val="000B7FF6"/>
    <w:rsid w:val="000C0B97"/>
    <w:rsid w:val="000C1C29"/>
    <w:rsid w:val="000C340A"/>
    <w:rsid w:val="000C3A8F"/>
    <w:rsid w:val="000C3AC3"/>
    <w:rsid w:val="000C3F23"/>
    <w:rsid w:val="000C5390"/>
    <w:rsid w:val="000C5634"/>
    <w:rsid w:val="000C5775"/>
    <w:rsid w:val="000C6112"/>
    <w:rsid w:val="000C63FC"/>
    <w:rsid w:val="000C6D91"/>
    <w:rsid w:val="000C7F5F"/>
    <w:rsid w:val="000D0A94"/>
    <w:rsid w:val="000D28DD"/>
    <w:rsid w:val="000D3576"/>
    <w:rsid w:val="000D3698"/>
    <w:rsid w:val="000D3F9A"/>
    <w:rsid w:val="000D3FF9"/>
    <w:rsid w:val="000D431A"/>
    <w:rsid w:val="000D46DE"/>
    <w:rsid w:val="000D7AFE"/>
    <w:rsid w:val="000E10DD"/>
    <w:rsid w:val="000E1E6B"/>
    <w:rsid w:val="000E24AF"/>
    <w:rsid w:val="000E323C"/>
    <w:rsid w:val="000E3D1A"/>
    <w:rsid w:val="000E4CDF"/>
    <w:rsid w:val="000E637B"/>
    <w:rsid w:val="000E7519"/>
    <w:rsid w:val="000F02E1"/>
    <w:rsid w:val="000F174D"/>
    <w:rsid w:val="000F2CB8"/>
    <w:rsid w:val="000F3708"/>
    <w:rsid w:val="000F39C0"/>
    <w:rsid w:val="000F3B0C"/>
    <w:rsid w:val="000F4AB3"/>
    <w:rsid w:val="000F5FA9"/>
    <w:rsid w:val="0010191D"/>
    <w:rsid w:val="001034B7"/>
    <w:rsid w:val="00103EF9"/>
    <w:rsid w:val="00104071"/>
    <w:rsid w:val="00104629"/>
    <w:rsid w:val="00106E59"/>
    <w:rsid w:val="00107B54"/>
    <w:rsid w:val="00107C41"/>
    <w:rsid w:val="001109CA"/>
    <w:rsid w:val="00110A12"/>
    <w:rsid w:val="00111E90"/>
    <w:rsid w:val="0011349F"/>
    <w:rsid w:val="00113884"/>
    <w:rsid w:val="00114436"/>
    <w:rsid w:val="0011493F"/>
    <w:rsid w:val="00114F3C"/>
    <w:rsid w:val="0011628C"/>
    <w:rsid w:val="00116AF0"/>
    <w:rsid w:val="0011769C"/>
    <w:rsid w:val="00117943"/>
    <w:rsid w:val="00120446"/>
    <w:rsid w:val="00120C69"/>
    <w:rsid w:val="0012189B"/>
    <w:rsid w:val="00121DCA"/>
    <w:rsid w:val="001224E9"/>
    <w:rsid w:val="00123057"/>
    <w:rsid w:val="0012372F"/>
    <w:rsid w:val="00123A52"/>
    <w:rsid w:val="0012439A"/>
    <w:rsid w:val="00124644"/>
    <w:rsid w:val="001246A5"/>
    <w:rsid w:val="00126133"/>
    <w:rsid w:val="00127D7D"/>
    <w:rsid w:val="00132D93"/>
    <w:rsid w:val="0013333B"/>
    <w:rsid w:val="00133946"/>
    <w:rsid w:val="00133C15"/>
    <w:rsid w:val="001340DE"/>
    <w:rsid w:val="001346F5"/>
    <w:rsid w:val="00134B9F"/>
    <w:rsid w:val="0013737C"/>
    <w:rsid w:val="001376B9"/>
    <w:rsid w:val="0014085C"/>
    <w:rsid w:val="001409C7"/>
    <w:rsid w:val="00140E79"/>
    <w:rsid w:val="001422C9"/>
    <w:rsid w:val="00142728"/>
    <w:rsid w:val="0014274A"/>
    <w:rsid w:val="001456DF"/>
    <w:rsid w:val="00147644"/>
    <w:rsid w:val="001477C8"/>
    <w:rsid w:val="001511C0"/>
    <w:rsid w:val="001512BC"/>
    <w:rsid w:val="001512E7"/>
    <w:rsid w:val="0015203E"/>
    <w:rsid w:val="00152B99"/>
    <w:rsid w:val="00152BEF"/>
    <w:rsid w:val="00152C77"/>
    <w:rsid w:val="00155677"/>
    <w:rsid w:val="00155CB7"/>
    <w:rsid w:val="0015666B"/>
    <w:rsid w:val="00157F23"/>
    <w:rsid w:val="00162EE3"/>
    <w:rsid w:val="001633DD"/>
    <w:rsid w:val="001637C6"/>
    <w:rsid w:val="001646A8"/>
    <w:rsid w:val="00164C54"/>
    <w:rsid w:val="0016630B"/>
    <w:rsid w:val="00167C7B"/>
    <w:rsid w:val="00170BAC"/>
    <w:rsid w:val="00172C87"/>
    <w:rsid w:val="00172EF0"/>
    <w:rsid w:val="00173291"/>
    <w:rsid w:val="001748A0"/>
    <w:rsid w:val="001751C4"/>
    <w:rsid w:val="00176F6C"/>
    <w:rsid w:val="001776C4"/>
    <w:rsid w:val="00180B8C"/>
    <w:rsid w:val="00181230"/>
    <w:rsid w:val="00181374"/>
    <w:rsid w:val="001817E5"/>
    <w:rsid w:val="00181D5A"/>
    <w:rsid w:val="00182860"/>
    <w:rsid w:val="0018373B"/>
    <w:rsid w:val="00183ACB"/>
    <w:rsid w:val="001844C8"/>
    <w:rsid w:val="00184AFA"/>
    <w:rsid w:val="001865B4"/>
    <w:rsid w:val="00186CAF"/>
    <w:rsid w:val="00187405"/>
    <w:rsid w:val="001925F3"/>
    <w:rsid w:val="001928B3"/>
    <w:rsid w:val="00193C69"/>
    <w:rsid w:val="001949B3"/>
    <w:rsid w:val="00195F37"/>
    <w:rsid w:val="001962EB"/>
    <w:rsid w:val="001974F6"/>
    <w:rsid w:val="00197F8B"/>
    <w:rsid w:val="001A0385"/>
    <w:rsid w:val="001A0A53"/>
    <w:rsid w:val="001A0C8A"/>
    <w:rsid w:val="001A14DC"/>
    <w:rsid w:val="001A1D2D"/>
    <w:rsid w:val="001A2A67"/>
    <w:rsid w:val="001A58EF"/>
    <w:rsid w:val="001A598F"/>
    <w:rsid w:val="001A5AE2"/>
    <w:rsid w:val="001A61E4"/>
    <w:rsid w:val="001A663D"/>
    <w:rsid w:val="001A6D70"/>
    <w:rsid w:val="001A796D"/>
    <w:rsid w:val="001B2259"/>
    <w:rsid w:val="001B57B4"/>
    <w:rsid w:val="001B59B1"/>
    <w:rsid w:val="001B5DF0"/>
    <w:rsid w:val="001B7780"/>
    <w:rsid w:val="001C0A91"/>
    <w:rsid w:val="001C0C0B"/>
    <w:rsid w:val="001C1BD0"/>
    <w:rsid w:val="001C2EA5"/>
    <w:rsid w:val="001C34CA"/>
    <w:rsid w:val="001C414F"/>
    <w:rsid w:val="001C44EA"/>
    <w:rsid w:val="001C4562"/>
    <w:rsid w:val="001C4EED"/>
    <w:rsid w:val="001C61F6"/>
    <w:rsid w:val="001C6524"/>
    <w:rsid w:val="001C6D30"/>
    <w:rsid w:val="001C7507"/>
    <w:rsid w:val="001C7F21"/>
    <w:rsid w:val="001D054A"/>
    <w:rsid w:val="001D05B6"/>
    <w:rsid w:val="001D1C1F"/>
    <w:rsid w:val="001D3026"/>
    <w:rsid w:val="001D3CD9"/>
    <w:rsid w:val="001D3F8A"/>
    <w:rsid w:val="001D4153"/>
    <w:rsid w:val="001D43C9"/>
    <w:rsid w:val="001D4820"/>
    <w:rsid w:val="001D6787"/>
    <w:rsid w:val="001D6FD5"/>
    <w:rsid w:val="001D714B"/>
    <w:rsid w:val="001E0623"/>
    <w:rsid w:val="001E0AE6"/>
    <w:rsid w:val="001E0C26"/>
    <w:rsid w:val="001E1193"/>
    <w:rsid w:val="001E1D1D"/>
    <w:rsid w:val="001E1DA1"/>
    <w:rsid w:val="001E1E92"/>
    <w:rsid w:val="001E1F28"/>
    <w:rsid w:val="001E1F4E"/>
    <w:rsid w:val="001E26CD"/>
    <w:rsid w:val="001E295E"/>
    <w:rsid w:val="001E309D"/>
    <w:rsid w:val="001E31EE"/>
    <w:rsid w:val="001E3E6B"/>
    <w:rsid w:val="001E4C01"/>
    <w:rsid w:val="001E582E"/>
    <w:rsid w:val="001E6335"/>
    <w:rsid w:val="001E63D6"/>
    <w:rsid w:val="001E6C9E"/>
    <w:rsid w:val="001F0BA3"/>
    <w:rsid w:val="001F1079"/>
    <w:rsid w:val="001F108F"/>
    <w:rsid w:val="001F26B0"/>
    <w:rsid w:val="001F2B43"/>
    <w:rsid w:val="001F4332"/>
    <w:rsid w:val="001F5603"/>
    <w:rsid w:val="001F666D"/>
    <w:rsid w:val="001F72F7"/>
    <w:rsid w:val="0020084A"/>
    <w:rsid w:val="00200F3E"/>
    <w:rsid w:val="00201099"/>
    <w:rsid w:val="00202794"/>
    <w:rsid w:val="002038B2"/>
    <w:rsid w:val="002041D5"/>
    <w:rsid w:val="00204BE5"/>
    <w:rsid w:val="0020672D"/>
    <w:rsid w:val="00206C47"/>
    <w:rsid w:val="00206DF7"/>
    <w:rsid w:val="00207361"/>
    <w:rsid w:val="0020754E"/>
    <w:rsid w:val="00207A1A"/>
    <w:rsid w:val="00207CC8"/>
    <w:rsid w:val="002100A4"/>
    <w:rsid w:val="00210F90"/>
    <w:rsid w:val="00212277"/>
    <w:rsid w:val="002157EF"/>
    <w:rsid w:val="00216992"/>
    <w:rsid w:val="00220CF4"/>
    <w:rsid w:val="002222CA"/>
    <w:rsid w:val="002228D3"/>
    <w:rsid w:val="0022362F"/>
    <w:rsid w:val="002237BD"/>
    <w:rsid w:val="00223E23"/>
    <w:rsid w:val="002245EC"/>
    <w:rsid w:val="00224760"/>
    <w:rsid w:val="00224E69"/>
    <w:rsid w:val="00225D90"/>
    <w:rsid w:val="0022606C"/>
    <w:rsid w:val="00226E4D"/>
    <w:rsid w:val="002275C3"/>
    <w:rsid w:val="002302BD"/>
    <w:rsid w:val="00230335"/>
    <w:rsid w:val="0023179B"/>
    <w:rsid w:val="0023314A"/>
    <w:rsid w:val="002342BF"/>
    <w:rsid w:val="00235E85"/>
    <w:rsid w:val="002373C6"/>
    <w:rsid w:val="002436BC"/>
    <w:rsid w:val="00243B90"/>
    <w:rsid w:val="00244092"/>
    <w:rsid w:val="002451BE"/>
    <w:rsid w:val="00245E4E"/>
    <w:rsid w:val="002462E1"/>
    <w:rsid w:val="00246932"/>
    <w:rsid w:val="00246E98"/>
    <w:rsid w:val="002479C5"/>
    <w:rsid w:val="00250CAF"/>
    <w:rsid w:val="00250FCB"/>
    <w:rsid w:val="002524F7"/>
    <w:rsid w:val="00252DF5"/>
    <w:rsid w:val="002536F4"/>
    <w:rsid w:val="00256559"/>
    <w:rsid w:val="0025788D"/>
    <w:rsid w:val="002634E3"/>
    <w:rsid w:val="00264433"/>
    <w:rsid w:val="00264777"/>
    <w:rsid w:val="002651F5"/>
    <w:rsid w:val="00265CD2"/>
    <w:rsid w:val="00265EF5"/>
    <w:rsid w:val="00272F74"/>
    <w:rsid w:val="00273334"/>
    <w:rsid w:val="0027422E"/>
    <w:rsid w:val="00274736"/>
    <w:rsid w:val="00275C0A"/>
    <w:rsid w:val="00275DA5"/>
    <w:rsid w:val="00276AD5"/>
    <w:rsid w:val="00277A54"/>
    <w:rsid w:val="00277D92"/>
    <w:rsid w:val="00280EF3"/>
    <w:rsid w:val="002814C0"/>
    <w:rsid w:val="00281A2B"/>
    <w:rsid w:val="00281FBA"/>
    <w:rsid w:val="002831B7"/>
    <w:rsid w:val="00283475"/>
    <w:rsid w:val="00283E35"/>
    <w:rsid w:val="002861A8"/>
    <w:rsid w:val="00286BF2"/>
    <w:rsid w:val="002873EE"/>
    <w:rsid w:val="00287809"/>
    <w:rsid w:val="0029287B"/>
    <w:rsid w:val="0029326E"/>
    <w:rsid w:val="00293301"/>
    <w:rsid w:val="00293D29"/>
    <w:rsid w:val="00293FB7"/>
    <w:rsid w:val="0029426E"/>
    <w:rsid w:val="002944F5"/>
    <w:rsid w:val="002946B0"/>
    <w:rsid w:val="002949A5"/>
    <w:rsid w:val="002956CC"/>
    <w:rsid w:val="00295764"/>
    <w:rsid w:val="00296075"/>
    <w:rsid w:val="00296436"/>
    <w:rsid w:val="0029684F"/>
    <w:rsid w:val="00297364"/>
    <w:rsid w:val="00297FB9"/>
    <w:rsid w:val="002A0350"/>
    <w:rsid w:val="002A0F70"/>
    <w:rsid w:val="002A1078"/>
    <w:rsid w:val="002A1FAE"/>
    <w:rsid w:val="002A230F"/>
    <w:rsid w:val="002A361A"/>
    <w:rsid w:val="002A4A6C"/>
    <w:rsid w:val="002A6F3B"/>
    <w:rsid w:val="002A6FC7"/>
    <w:rsid w:val="002A7CC2"/>
    <w:rsid w:val="002A7F72"/>
    <w:rsid w:val="002ACF74"/>
    <w:rsid w:val="002B03C3"/>
    <w:rsid w:val="002B06BF"/>
    <w:rsid w:val="002B0F5D"/>
    <w:rsid w:val="002B1DCE"/>
    <w:rsid w:val="002B20CE"/>
    <w:rsid w:val="002B29AA"/>
    <w:rsid w:val="002B2BD1"/>
    <w:rsid w:val="002B2CE6"/>
    <w:rsid w:val="002B3B09"/>
    <w:rsid w:val="002B4253"/>
    <w:rsid w:val="002B5980"/>
    <w:rsid w:val="002C0FAD"/>
    <w:rsid w:val="002C0FF9"/>
    <w:rsid w:val="002C3825"/>
    <w:rsid w:val="002C3D86"/>
    <w:rsid w:val="002C42C3"/>
    <w:rsid w:val="002C4552"/>
    <w:rsid w:val="002C49FC"/>
    <w:rsid w:val="002C5BD9"/>
    <w:rsid w:val="002C6E56"/>
    <w:rsid w:val="002C7692"/>
    <w:rsid w:val="002C777E"/>
    <w:rsid w:val="002D03D6"/>
    <w:rsid w:val="002D154C"/>
    <w:rsid w:val="002D15D2"/>
    <w:rsid w:val="002D2387"/>
    <w:rsid w:val="002D27A4"/>
    <w:rsid w:val="002D417F"/>
    <w:rsid w:val="002D4323"/>
    <w:rsid w:val="002D4580"/>
    <w:rsid w:val="002D4D82"/>
    <w:rsid w:val="002D4E99"/>
    <w:rsid w:val="002D4EBE"/>
    <w:rsid w:val="002D4FE9"/>
    <w:rsid w:val="002D5AFD"/>
    <w:rsid w:val="002D5EFD"/>
    <w:rsid w:val="002E04DD"/>
    <w:rsid w:val="002E068E"/>
    <w:rsid w:val="002E0CB9"/>
    <w:rsid w:val="002E188A"/>
    <w:rsid w:val="002E1A3F"/>
    <w:rsid w:val="002E2DFE"/>
    <w:rsid w:val="002E311B"/>
    <w:rsid w:val="002E52C4"/>
    <w:rsid w:val="002E61C6"/>
    <w:rsid w:val="002E7503"/>
    <w:rsid w:val="002F0738"/>
    <w:rsid w:val="002F0D2D"/>
    <w:rsid w:val="002F10EF"/>
    <w:rsid w:val="002F1162"/>
    <w:rsid w:val="002F2F81"/>
    <w:rsid w:val="002F39B2"/>
    <w:rsid w:val="002F464B"/>
    <w:rsid w:val="002F4EBE"/>
    <w:rsid w:val="002F51CD"/>
    <w:rsid w:val="002F5BDA"/>
    <w:rsid w:val="002F6C3F"/>
    <w:rsid w:val="002F72B6"/>
    <w:rsid w:val="00301807"/>
    <w:rsid w:val="00301915"/>
    <w:rsid w:val="003031C0"/>
    <w:rsid w:val="00306095"/>
    <w:rsid w:val="0030692B"/>
    <w:rsid w:val="00307A4B"/>
    <w:rsid w:val="00307E3F"/>
    <w:rsid w:val="00310983"/>
    <w:rsid w:val="00310A27"/>
    <w:rsid w:val="00310B34"/>
    <w:rsid w:val="00310BDF"/>
    <w:rsid w:val="00311CC1"/>
    <w:rsid w:val="00311D9B"/>
    <w:rsid w:val="0031200C"/>
    <w:rsid w:val="00312433"/>
    <w:rsid w:val="00312924"/>
    <w:rsid w:val="00312AFF"/>
    <w:rsid w:val="00312BFA"/>
    <w:rsid w:val="00313396"/>
    <w:rsid w:val="00313F9A"/>
    <w:rsid w:val="0031474A"/>
    <w:rsid w:val="00315B59"/>
    <w:rsid w:val="00316250"/>
    <w:rsid w:val="003162A0"/>
    <w:rsid w:val="003163B3"/>
    <w:rsid w:val="0031674E"/>
    <w:rsid w:val="00317699"/>
    <w:rsid w:val="0031784F"/>
    <w:rsid w:val="00317879"/>
    <w:rsid w:val="00317C31"/>
    <w:rsid w:val="00320B49"/>
    <w:rsid w:val="0032199C"/>
    <w:rsid w:val="0032245C"/>
    <w:rsid w:val="00323099"/>
    <w:rsid w:val="003231D9"/>
    <w:rsid w:val="0032641E"/>
    <w:rsid w:val="003267F9"/>
    <w:rsid w:val="00326EE9"/>
    <w:rsid w:val="00327C5D"/>
    <w:rsid w:val="003303AF"/>
    <w:rsid w:val="00330D39"/>
    <w:rsid w:val="00330D3D"/>
    <w:rsid w:val="00331D95"/>
    <w:rsid w:val="00334618"/>
    <w:rsid w:val="00334731"/>
    <w:rsid w:val="00335476"/>
    <w:rsid w:val="003359FE"/>
    <w:rsid w:val="00337324"/>
    <w:rsid w:val="0033791D"/>
    <w:rsid w:val="00337F91"/>
    <w:rsid w:val="00340AB9"/>
    <w:rsid w:val="00341605"/>
    <w:rsid w:val="00341C17"/>
    <w:rsid w:val="00342A06"/>
    <w:rsid w:val="00342AC0"/>
    <w:rsid w:val="00342F6E"/>
    <w:rsid w:val="00346559"/>
    <w:rsid w:val="003516F0"/>
    <w:rsid w:val="00351E77"/>
    <w:rsid w:val="00354E34"/>
    <w:rsid w:val="003600C5"/>
    <w:rsid w:val="00361197"/>
    <w:rsid w:val="00361AB0"/>
    <w:rsid w:val="003634AD"/>
    <w:rsid w:val="003638A2"/>
    <w:rsid w:val="00364E10"/>
    <w:rsid w:val="00364F6D"/>
    <w:rsid w:val="003654EF"/>
    <w:rsid w:val="00365E32"/>
    <w:rsid w:val="00366282"/>
    <w:rsid w:val="00367C10"/>
    <w:rsid w:val="00367D08"/>
    <w:rsid w:val="003709F3"/>
    <w:rsid w:val="003716C3"/>
    <w:rsid w:val="00372790"/>
    <w:rsid w:val="003738AD"/>
    <w:rsid w:val="00373C0E"/>
    <w:rsid w:val="00373FB9"/>
    <w:rsid w:val="003740BA"/>
    <w:rsid w:val="00375046"/>
    <w:rsid w:val="003757FB"/>
    <w:rsid w:val="00376A79"/>
    <w:rsid w:val="003774ED"/>
    <w:rsid w:val="00377FE6"/>
    <w:rsid w:val="00380E0B"/>
    <w:rsid w:val="003813F2"/>
    <w:rsid w:val="003818C1"/>
    <w:rsid w:val="00383DD4"/>
    <w:rsid w:val="00383EB9"/>
    <w:rsid w:val="00384AA0"/>
    <w:rsid w:val="003850C1"/>
    <w:rsid w:val="00386DD4"/>
    <w:rsid w:val="00387224"/>
    <w:rsid w:val="003879DB"/>
    <w:rsid w:val="00387D5B"/>
    <w:rsid w:val="0039019B"/>
    <w:rsid w:val="00390B50"/>
    <w:rsid w:val="00391C7E"/>
    <w:rsid w:val="00392746"/>
    <w:rsid w:val="00394876"/>
    <w:rsid w:val="0039491E"/>
    <w:rsid w:val="0039515D"/>
    <w:rsid w:val="00395C7D"/>
    <w:rsid w:val="003972A9"/>
    <w:rsid w:val="00397FE8"/>
    <w:rsid w:val="003A0361"/>
    <w:rsid w:val="003A0C92"/>
    <w:rsid w:val="003A12DF"/>
    <w:rsid w:val="003A13F3"/>
    <w:rsid w:val="003A1C5A"/>
    <w:rsid w:val="003A1F88"/>
    <w:rsid w:val="003A28F7"/>
    <w:rsid w:val="003A4AD8"/>
    <w:rsid w:val="003A4E82"/>
    <w:rsid w:val="003A66BF"/>
    <w:rsid w:val="003A6866"/>
    <w:rsid w:val="003B0778"/>
    <w:rsid w:val="003B0D7A"/>
    <w:rsid w:val="003B26B6"/>
    <w:rsid w:val="003B512C"/>
    <w:rsid w:val="003B79A2"/>
    <w:rsid w:val="003C0233"/>
    <w:rsid w:val="003C17E5"/>
    <w:rsid w:val="003C321E"/>
    <w:rsid w:val="003C3843"/>
    <w:rsid w:val="003C3DE3"/>
    <w:rsid w:val="003C47DF"/>
    <w:rsid w:val="003C595A"/>
    <w:rsid w:val="003C7DF3"/>
    <w:rsid w:val="003C7F19"/>
    <w:rsid w:val="003D1013"/>
    <w:rsid w:val="003D1EB0"/>
    <w:rsid w:val="003D3755"/>
    <w:rsid w:val="003D57C7"/>
    <w:rsid w:val="003D6842"/>
    <w:rsid w:val="003D7B61"/>
    <w:rsid w:val="003E3AB0"/>
    <w:rsid w:val="003E5A3D"/>
    <w:rsid w:val="003E5BE9"/>
    <w:rsid w:val="003E66FB"/>
    <w:rsid w:val="003F094B"/>
    <w:rsid w:val="003F1037"/>
    <w:rsid w:val="003F27B9"/>
    <w:rsid w:val="003F30F4"/>
    <w:rsid w:val="003F5127"/>
    <w:rsid w:val="003F57E7"/>
    <w:rsid w:val="00400D70"/>
    <w:rsid w:val="00401FA8"/>
    <w:rsid w:val="00402327"/>
    <w:rsid w:val="00403E91"/>
    <w:rsid w:val="004041C1"/>
    <w:rsid w:val="0040486D"/>
    <w:rsid w:val="004053DE"/>
    <w:rsid w:val="004056C2"/>
    <w:rsid w:val="00405761"/>
    <w:rsid w:val="00405D99"/>
    <w:rsid w:val="004109E0"/>
    <w:rsid w:val="00411732"/>
    <w:rsid w:val="00414775"/>
    <w:rsid w:val="00414E11"/>
    <w:rsid w:val="00417E6B"/>
    <w:rsid w:val="00420107"/>
    <w:rsid w:val="00422A52"/>
    <w:rsid w:val="00422BE8"/>
    <w:rsid w:val="00422E3B"/>
    <w:rsid w:val="004239B2"/>
    <w:rsid w:val="00424101"/>
    <w:rsid w:val="00424BA1"/>
    <w:rsid w:val="00425AAE"/>
    <w:rsid w:val="0042695F"/>
    <w:rsid w:val="00427CBE"/>
    <w:rsid w:val="00431C14"/>
    <w:rsid w:val="00431D4E"/>
    <w:rsid w:val="00432717"/>
    <w:rsid w:val="00432E73"/>
    <w:rsid w:val="00433302"/>
    <w:rsid w:val="004347CD"/>
    <w:rsid w:val="0043556A"/>
    <w:rsid w:val="004358DF"/>
    <w:rsid w:val="00435A35"/>
    <w:rsid w:val="00435CB0"/>
    <w:rsid w:val="00440BAB"/>
    <w:rsid w:val="004421AF"/>
    <w:rsid w:val="00442D22"/>
    <w:rsid w:val="00443488"/>
    <w:rsid w:val="00444759"/>
    <w:rsid w:val="00446F54"/>
    <w:rsid w:val="00450A88"/>
    <w:rsid w:val="00452936"/>
    <w:rsid w:val="00453C78"/>
    <w:rsid w:val="00454247"/>
    <w:rsid w:val="00455945"/>
    <w:rsid w:val="00456143"/>
    <w:rsid w:val="00456629"/>
    <w:rsid w:val="00457C04"/>
    <w:rsid w:val="00460267"/>
    <w:rsid w:val="0046043C"/>
    <w:rsid w:val="00460580"/>
    <w:rsid w:val="004606D7"/>
    <w:rsid w:val="00460B5B"/>
    <w:rsid w:val="004632A4"/>
    <w:rsid w:val="004640F5"/>
    <w:rsid w:val="004649ED"/>
    <w:rsid w:val="004700DB"/>
    <w:rsid w:val="0047015F"/>
    <w:rsid w:val="0047021A"/>
    <w:rsid w:val="00470581"/>
    <w:rsid w:val="0047185F"/>
    <w:rsid w:val="00472D98"/>
    <w:rsid w:val="00473115"/>
    <w:rsid w:val="00473C2A"/>
    <w:rsid w:val="00474DF0"/>
    <w:rsid w:val="00474E65"/>
    <w:rsid w:val="00474F2E"/>
    <w:rsid w:val="004762D8"/>
    <w:rsid w:val="0047682B"/>
    <w:rsid w:val="004774BE"/>
    <w:rsid w:val="004776BA"/>
    <w:rsid w:val="004812F5"/>
    <w:rsid w:val="00482A40"/>
    <w:rsid w:val="00482BCF"/>
    <w:rsid w:val="00482E83"/>
    <w:rsid w:val="00484A97"/>
    <w:rsid w:val="00485207"/>
    <w:rsid w:val="00485220"/>
    <w:rsid w:val="00485491"/>
    <w:rsid w:val="004859E2"/>
    <w:rsid w:val="00491A6F"/>
    <w:rsid w:val="004920E8"/>
    <w:rsid w:val="00492C14"/>
    <w:rsid w:val="00493FB7"/>
    <w:rsid w:val="0049412C"/>
    <w:rsid w:val="004952E3"/>
    <w:rsid w:val="0049726E"/>
    <w:rsid w:val="004A05CB"/>
    <w:rsid w:val="004A188B"/>
    <w:rsid w:val="004A1A26"/>
    <w:rsid w:val="004A1D5F"/>
    <w:rsid w:val="004A1DC9"/>
    <w:rsid w:val="004A2B63"/>
    <w:rsid w:val="004A2E80"/>
    <w:rsid w:val="004A37DD"/>
    <w:rsid w:val="004A3B0D"/>
    <w:rsid w:val="004A4B94"/>
    <w:rsid w:val="004A5B54"/>
    <w:rsid w:val="004A5BA0"/>
    <w:rsid w:val="004A5CB4"/>
    <w:rsid w:val="004A60EA"/>
    <w:rsid w:val="004A7005"/>
    <w:rsid w:val="004A7C61"/>
    <w:rsid w:val="004A7DE7"/>
    <w:rsid w:val="004B109A"/>
    <w:rsid w:val="004B2814"/>
    <w:rsid w:val="004B29A8"/>
    <w:rsid w:val="004B432D"/>
    <w:rsid w:val="004B6181"/>
    <w:rsid w:val="004B6EFC"/>
    <w:rsid w:val="004C06DD"/>
    <w:rsid w:val="004C330C"/>
    <w:rsid w:val="004C341A"/>
    <w:rsid w:val="004C4D33"/>
    <w:rsid w:val="004C4DC2"/>
    <w:rsid w:val="004C740D"/>
    <w:rsid w:val="004C7AB6"/>
    <w:rsid w:val="004C7E10"/>
    <w:rsid w:val="004D01DF"/>
    <w:rsid w:val="004D0436"/>
    <w:rsid w:val="004D1A61"/>
    <w:rsid w:val="004D1BE5"/>
    <w:rsid w:val="004D278F"/>
    <w:rsid w:val="004D313B"/>
    <w:rsid w:val="004D3430"/>
    <w:rsid w:val="004D3CEC"/>
    <w:rsid w:val="004D5A27"/>
    <w:rsid w:val="004D66D7"/>
    <w:rsid w:val="004D77DE"/>
    <w:rsid w:val="004E049C"/>
    <w:rsid w:val="004E15A6"/>
    <w:rsid w:val="004E2963"/>
    <w:rsid w:val="004E2E28"/>
    <w:rsid w:val="004E413C"/>
    <w:rsid w:val="004E5F72"/>
    <w:rsid w:val="004E6069"/>
    <w:rsid w:val="004E6552"/>
    <w:rsid w:val="004E6EAF"/>
    <w:rsid w:val="004E7214"/>
    <w:rsid w:val="004E7E24"/>
    <w:rsid w:val="004F0149"/>
    <w:rsid w:val="004F10BE"/>
    <w:rsid w:val="004F4BE2"/>
    <w:rsid w:val="004F4C68"/>
    <w:rsid w:val="004F688E"/>
    <w:rsid w:val="004F7E3A"/>
    <w:rsid w:val="004F7F69"/>
    <w:rsid w:val="00500322"/>
    <w:rsid w:val="00500B88"/>
    <w:rsid w:val="00503757"/>
    <w:rsid w:val="00503C97"/>
    <w:rsid w:val="00504122"/>
    <w:rsid w:val="00504925"/>
    <w:rsid w:val="0050527E"/>
    <w:rsid w:val="005052BD"/>
    <w:rsid w:val="0050731D"/>
    <w:rsid w:val="005076F8"/>
    <w:rsid w:val="005117C6"/>
    <w:rsid w:val="00512EB5"/>
    <w:rsid w:val="00513CDA"/>
    <w:rsid w:val="00514141"/>
    <w:rsid w:val="00514FB4"/>
    <w:rsid w:val="00515112"/>
    <w:rsid w:val="005153BE"/>
    <w:rsid w:val="00515586"/>
    <w:rsid w:val="00516018"/>
    <w:rsid w:val="005166FA"/>
    <w:rsid w:val="00516EDA"/>
    <w:rsid w:val="0051710C"/>
    <w:rsid w:val="00517E41"/>
    <w:rsid w:val="0052025B"/>
    <w:rsid w:val="005204A4"/>
    <w:rsid w:val="005215FF"/>
    <w:rsid w:val="00521BCB"/>
    <w:rsid w:val="00523121"/>
    <w:rsid w:val="00524A99"/>
    <w:rsid w:val="00525D52"/>
    <w:rsid w:val="00526388"/>
    <w:rsid w:val="005279D7"/>
    <w:rsid w:val="00527E20"/>
    <w:rsid w:val="00530910"/>
    <w:rsid w:val="00531F7B"/>
    <w:rsid w:val="005324D2"/>
    <w:rsid w:val="00532EDA"/>
    <w:rsid w:val="005337AA"/>
    <w:rsid w:val="00535F29"/>
    <w:rsid w:val="005368CC"/>
    <w:rsid w:val="00541B32"/>
    <w:rsid w:val="00541C72"/>
    <w:rsid w:val="005420BA"/>
    <w:rsid w:val="00542454"/>
    <w:rsid w:val="00542AE7"/>
    <w:rsid w:val="00544EAF"/>
    <w:rsid w:val="00544EBD"/>
    <w:rsid w:val="00544EEE"/>
    <w:rsid w:val="00546477"/>
    <w:rsid w:val="005465EF"/>
    <w:rsid w:val="00546AB0"/>
    <w:rsid w:val="00547BF2"/>
    <w:rsid w:val="00547DAC"/>
    <w:rsid w:val="005515F6"/>
    <w:rsid w:val="00551D6E"/>
    <w:rsid w:val="005520E1"/>
    <w:rsid w:val="00554A80"/>
    <w:rsid w:val="00554C82"/>
    <w:rsid w:val="00561230"/>
    <w:rsid w:val="00561E55"/>
    <w:rsid w:val="00563616"/>
    <w:rsid w:val="00563B16"/>
    <w:rsid w:val="00563D5A"/>
    <w:rsid w:val="005643CE"/>
    <w:rsid w:val="005644B4"/>
    <w:rsid w:val="00564C05"/>
    <w:rsid w:val="0056670F"/>
    <w:rsid w:val="00567F9D"/>
    <w:rsid w:val="005722D5"/>
    <w:rsid w:val="00573909"/>
    <w:rsid w:val="005747F2"/>
    <w:rsid w:val="00574CAB"/>
    <w:rsid w:val="00575CA1"/>
    <w:rsid w:val="00576E16"/>
    <w:rsid w:val="00577A59"/>
    <w:rsid w:val="005801E8"/>
    <w:rsid w:val="00583A54"/>
    <w:rsid w:val="00583C79"/>
    <w:rsid w:val="005840EC"/>
    <w:rsid w:val="005852E1"/>
    <w:rsid w:val="00585B98"/>
    <w:rsid w:val="00586A5C"/>
    <w:rsid w:val="00586ACA"/>
    <w:rsid w:val="005879C9"/>
    <w:rsid w:val="00587B7F"/>
    <w:rsid w:val="005909AF"/>
    <w:rsid w:val="00590B21"/>
    <w:rsid w:val="00593B43"/>
    <w:rsid w:val="0059441B"/>
    <w:rsid w:val="00594678"/>
    <w:rsid w:val="00594E79"/>
    <w:rsid w:val="0059634E"/>
    <w:rsid w:val="00596E40"/>
    <w:rsid w:val="00597435"/>
    <w:rsid w:val="00597801"/>
    <w:rsid w:val="00597D01"/>
    <w:rsid w:val="005A01D9"/>
    <w:rsid w:val="005A0606"/>
    <w:rsid w:val="005A0E30"/>
    <w:rsid w:val="005A3DD3"/>
    <w:rsid w:val="005A3E67"/>
    <w:rsid w:val="005A498D"/>
    <w:rsid w:val="005A7AB2"/>
    <w:rsid w:val="005A7D1F"/>
    <w:rsid w:val="005B0F12"/>
    <w:rsid w:val="005B11D0"/>
    <w:rsid w:val="005B15F9"/>
    <w:rsid w:val="005B1A07"/>
    <w:rsid w:val="005B228D"/>
    <w:rsid w:val="005B24FF"/>
    <w:rsid w:val="005B27E8"/>
    <w:rsid w:val="005B2BBC"/>
    <w:rsid w:val="005B39A9"/>
    <w:rsid w:val="005B3FD5"/>
    <w:rsid w:val="005B6FCB"/>
    <w:rsid w:val="005B7119"/>
    <w:rsid w:val="005B7D30"/>
    <w:rsid w:val="005B7DDC"/>
    <w:rsid w:val="005C0C61"/>
    <w:rsid w:val="005C1029"/>
    <w:rsid w:val="005C1CBB"/>
    <w:rsid w:val="005C296B"/>
    <w:rsid w:val="005C42A0"/>
    <w:rsid w:val="005C6AEE"/>
    <w:rsid w:val="005C7A9A"/>
    <w:rsid w:val="005C7D7C"/>
    <w:rsid w:val="005D2BE0"/>
    <w:rsid w:val="005D331B"/>
    <w:rsid w:val="005D351E"/>
    <w:rsid w:val="005D4682"/>
    <w:rsid w:val="005D4B14"/>
    <w:rsid w:val="005D4B35"/>
    <w:rsid w:val="005D4D38"/>
    <w:rsid w:val="005D7AB6"/>
    <w:rsid w:val="005E15A8"/>
    <w:rsid w:val="005E2012"/>
    <w:rsid w:val="005E259D"/>
    <w:rsid w:val="005E326F"/>
    <w:rsid w:val="005E37F4"/>
    <w:rsid w:val="005E3931"/>
    <w:rsid w:val="005E5035"/>
    <w:rsid w:val="005E5D79"/>
    <w:rsid w:val="005E67B3"/>
    <w:rsid w:val="005E7DE1"/>
    <w:rsid w:val="005E7E67"/>
    <w:rsid w:val="005F0174"/>
    <w:rsid w:val="005F1CA8"/>
    <w:rsid w:val="005F2BA1"/>
    <w:rsid w:val="005F377A"/>
    <w:rsid w:val="005F4EF6"/>
    <w:rsid w:val="005F5295"/>
    <w:rsid w:val="005F74AB"/>
    <w:rsid w:val="005F7B5D"/>
    <w:rsid w:val="006003FB"/>
    <w:rsid w:val="006004F9"/>
    <w:rsid w:val="00600703"/>
    <w:rsid w:val="00600DBC"/>
    <w:rsid w:val="00602392"/>
    <w:rsid w:val="00603CD8"/>
    <w:rsid w:val="00603EB9"/>
    <w:rsid w:val="00604071"/>
    <w:rsid w:val="006046DD"/>
    <w:rsid w:val="00611F0A"/>
    <w:rsid w:val="00611F6F"/>
    <w:rsid w:val="006123B5"/>
    <w:rsid w:val="006127BC"/>
    <w:rsid w:val="00613E0D"/>
    <w:rsid w:val="00614483"/>
    <w:rsid w:val="006179EB"/>
    <w:rsid w:val="00617DB5"/>
    <w:rsid w:val="00622BA1"/>
    <w:rsid w:val="00623423"/>
    <w:rsid w:val="00623749"/>
    <w:rsid w:val="006256C3"/>
    <w:rsid w:val="006260EB"/>
    <w:rsid w:val="00630DE6"/>
    <w:rsid w:val="00631D80"/>
    <w:rsid w:val="00631FE5"/>
    <w:rsid w:val="006327E3"/>
    <w:rsid w:val="00635A6C"/>
    <w:rsid w:val="00640218"/>
    <w:rsid w:val="0064043F"/>
    <w:rsid w:val="0064063E"/>
    <w:rsid w:val="00640B0A"/>
    <w:rsid w:val="00640FF6"/>
    <w:rsid w:val="00641AAC"/>
    <w:rsid w:val="00643866"/>
    <w:rsid w:val="00643F65"/>
    <w:rsid w:val="006446E7"/>
    <w:rsid w:val="006455F8"/>
    <w:rsid w:val="006456B8"/>
    <w:rsid w:val="006457A0"/>
    <w:rsid w:val="00646AE6"/>
    <w:rsid w:val="00647E7F"/>
    <w:rsid w:val="00650225"/>
    <w:rsid w:val="006502E5"/>
    <w:rsid w:val="006525D0"/>
    <w:rsid w:val="006537C5"/>
    <w:rsid w:val="00653FB2"/>
    <w:rsid w:val="00655F38"/>
    <w:rsid w:val="00656B25"/>
    <w:rsid w:val="00660176"/>
    <w:rsid w:val="006604A9"/>
    <w:rsid w:val="00660C47"/>
    <w:rsid w:val="00661B8A"/>
    <w:rsid w:val="0066227B"/>
    <w:rsid w:val="00663322"/>
    <w:rsid w:val="006636D7"/>
    <w:rsid w:val="006638B7"/>
    <w:rsid w:val="00663956"/>
    <w:rsid w:val="00663AAD"/>
    <w:rsid w:val="00664F6F"/>
    <w:rsid w:val="006659C9"/>
    <w:rsid w:val="006659E0"/>
    <w:rsid w:val="0066677F"/>
    <w:rsid w:val="00666AA4"/>
    <w:rsid w:val="00666E3C"/>
    <w:rsid w:val="00670458"/>
    <w:rsid w:val="0067071D"/>
    <w:rsid w:val="006709CD"/>
    <w:rsid w:val="00670EF0"/>
    <w:rsid w:val="00675AA0"/>
    <w:rsid w:val="00680744"/>
    <w:rsid w:val="006820FA"/>
    <w:rsid w:val="006826F7"/>
    <w:rsid w:val="00684537"/>
    <w:rsid w:val="00684CA9"/>
    <w:rsid w:val="00685DCE"/>
    <w:rsid w:val="00686C76"/>
    <w:rsid w:val="0068741A"/>
    <w:rsid w:val="0069058A"/>
    <w:rsid w:val="00691564"/>
    <w:rsid w:val="00691EAC"/>
    <w:rsid w:val="006944AF"/>
    <w:rsid w:val="00694777"/>
    <w:rsid w:val="006965C8"/>
    <w:rsid w:val="00697CE3"/>
    <w:rsid w:val="00697D75"/>
    <w:rsid w:val="006A008F"/>
    <w:rsid w:val="006A1464"/>
    <w:rsid w:val="006A2442"/>
    <w:rsid w:val="006A2BCF"/>
    <w:rsid w:val="006A3A17"/>
    <w:rsid w:val="006A540A"/>
    <w:rsid w:val="006A6124"/>
    <w:rsid w:val="006A6380"/>
    <w:rsid w:val="006A67EA"/>
    <w:rsid w:val="006A6B24"/>
    <w:rsid w:val="006A6C2E"/>
    <w:rsid w:val="006A6F2E"/>
    <w:rsid w:val="006A79DB"/>
    <w:rsid w:val="006B1B37"/>
    <w:rsid w:val="006B20D1"/>
    <w:rsid w:val="006B26F4"/>
    <w:rsid w:val="006B2B2A"/>
    <w:rsid w:val="006B2BC1"/>
    <w:rsid w:val="006B45E8"/>
    <w:rsid w:val="006B53CE"/>
    <w:rsid w:val="006B6017"/>
    <w:rsid w:val="006B64CF"/>
    <w:rsid w:val="006C046C"/>
    <w:rsid w:val="006C0813"/>
    <w:rsid w:val="006C2BF0"/>
    <w:rsid w:val="006C40D0"/>
    <w:rsid w:val="006C5B13"/>
    <w:rsid w:val="006C5B5B"/>
    <w:rsid w:val="006C679E"/>
    <w:rsid w:val="006C6D76"/>
    <w:rsid w:val="006C6EE6"/>
    <w:rsid w:val="006C7C49"/>
    <w:rsid w:val="006C7FA1"/>
    <w:rsid w:val="006D06D2"/>
    <w:rsid w:val="006D2A82"/>
    <w:rsid w:val="006D2C5B"/>
    <w:rsid w:val="006D30F2"/>
    <w:rsid w:val="006D3A49"/>
    <w:rsid w:val="006D6044"/>
    <w:rsid w:val="006D7FD1"/>
    <w:rsid w:val="006E0B9B"/>
    <w:rsid w:val="006E1BD0"/>
    <w:rsid w:val="006E2D93"/>
    <w:rsid w:val="006E2F83"/>
    <w:rsid w:val="006E423D"/>
    <w:rsid w:val="006E54D5"/>
    <w:rsid w:val="006E54E0"/>
    <w:rsid w:val="006E6175"/>
    <w:rsid w:val="006F0B56"/>
    <w:rsid w:val="006F0F91"/>
    <w:rsid w:val="006F16DA"/>
    <w:rsid w:val="006F28C5"/>
    <w:rsid w:val="006F34AB"/>
    <w:rsid w:val="006F36C2"/>
    <w:rsid w:val="006F3746"/>
    <w:rsid w:val="006F498D"/>
    <w:rsid w:val="006F5C3A"/>
    <w:rsid w:val="0070284A"/>
    <w:rsid w:val="007031F9"/>
    <w:rsid w:val="007033C3"/>
    <w:rsid w:val="00705857"/>
    <w:rsid w:val="0070662D"/>
    <w:rsid w:val="007077AD"/>
    <w:rsid w:val="00710A92"/>
    <w:rsid w:val="00710F65"/>
    <w:rsid w:val="007125FB"/>
    <w:rsid w:val="00712A1C"/>
    <w:rsid w:val="00713042"/>
    <w:rsid w:val="00713889"/>
    <w:rsid w:val="007138CF"/>
    <w:rsid w:val="007140C7"/>
    <w:rsid w:val="00716637"/>
    <w:rsid w:val="00716A26"/>
    <w:rsid w:val="007219AB"/>
    <w:rsid w:val="00721EE1"/>
    <w:rsid w:val="00724941"/>
    <w:rsid w:val="00724C74"/>
    <w:rsid w:val="007254BF"/>
    <w:rsid w:val="00725BCE"/>
    <w:rsid w:val="00726361"/>
    <w:rsid w:val="00727477"/>
    <w:rsid w:val="00727A65"/>
    <w:rsid w:val="00727B13"/>
    <w:rsid w:val="00731051"/>
    <w:rsid w:val="007321B7"/>
    <w:rsid w:val="00732C41"/>
    <w:rsid w:val="00733032"/>
    <w:rsid w:val="00733139"/>
    <w:rsid w:val="00733AAE"/>
    <w:rsid w:val="007352AB"/>
    <w:rsid w:val="00735999"/>
    <w:rsid w:val="007360CD"/>
    <w:rsid w:val="007374E1"/>
    <w:rsid w:val="00737A06"/>
    <w:rsid w:val="00737A85"/>
    <w:rsid w:val="007403BB"/>
    <w:rsid w:val="0074257E"/>
    <w:rsid w:val="007427BE"/>
    <w:rsid w:val="00742AA5"/>
    <w:rsid w:val="007444E6"/>
    <w:rsid w:val="00745946"/>
    <w:rsid w:val="00746B71"/>
    <w:rsid w:val="007505B8"/>
    <w:rsid w:val="007521B7"/>
    <w:rsid w:val="007526F6"/>
    <w:rsid w:val="00753F12"/>
    <w:rsid w:val="007551F8"/>
    <w:rsid w:val="0075547E"/>
    <w:rsid w:val="00755D45"/>
    <w:rsid w:val="00756351"/>
    <w:rsid w:val="00757D67"/>
    <w:rsid w:val="00760EFB"/>
    <w:rsid w:val="0076214B"/>
    <w:rsid w:val="00762185"/>
    <w:rsid w:val="00762D4D"/>
    <w:rsid w:val="00762E33"/>
    <w:rsid w:val="00763351"/>
    <w:rsid w:val="00763807"/>
    <w:rsid w:val="007641C0"/>
    <w:rsid w:val="00764AA6"/>
    <w:rsid w:val="007652FA"/>
    <w:rsid w:val="00765C43"/>
    <w:rsid w:val="00767E36"/>
    <w:rsid w:val="00771614"/>
    <w:rsid w:val="00771EFE"/>
    <w:rsid w:val="0077246D"/>
    <w:rsid w:val="007726C2"/>
    <w:rsid w:val="00772D85"/>
    <w:rsid w:val="00772FF4"/>
    <w:rsid w:val="0077768C"/>
    <w:rsid w:val="0078018D"/>
    <w:rsid w:val="007826A5"/>
    <w:rsid w:val="00783BF1"/>
    <w:rsid w:val="0078448D"/>
    <w:rsid w:val="007850AF"/>
    <w:rsid w:val="0078558C"/>
    <w:rsid w:val="00785DD0"/>
    <w:rsid w:val="0078726F"/>
    <w:rsid w:val="007872F5"/>
    <w:rsid w:val="007877DC"/>
    <w:rsid w:val="00787807"/>
    <w:rsid w:val="0078794E"/>
    <w:rsid w:val="0079052F"/>
    <w:rsid w:val="00790DFD"/>
    <w:rsid w:val="00791440"/>
    <w:rsid w:val="007934AD"/>
    <w:rsid w:val="00793A97"/>
    <w:rsid w:val="0079487D"/>
    <w:rsid w:val="007A01A2"/>
    <w:rsid w:val="007A021E"/>
    <w:rsid w:val="007A1AC3"/>
    <w:rsid w:val="007A2C18"/>
    <w:rsid w:val="007A2EB4"/>
    <w:rsid w:val="007A4E82"/>
    <w:rsid w:val="007A6D02"/>
    <w:rsid w:val="007A72E5"/>
    <w:rsid w:val="007A776C"/>
    <w:rsid w:val="007B0697"/>
    <w:rsid w:val="007B06DA"/>
    <w:rsid w:val="007B40CE"/>
    <w:rsid w:val="007B42E9"/>
    <w:rsid w:val="007B4F42"/>
    <w:rsid w:val="007B5712"/>
    <w:rsid w:val="007B612B"/>
    <w:rsid w:val="007B625D"/>
    <w:rsid w:val="007B6B3B"/>
    <w:rsid w:val="007C112B"/>
    <w:rsid w:val="007C1EC6"/>
    <w:rsid w:val="007C337D"/>
    <w:rsid w:val="007C396B"/>
    <w:rsid w:val="007C5A0B"/>
    <w:rsid w:val="007C5ED2"/>
    <w:rsid w:val="007C5EE2"/>
    <w:rsid w:val="007C694C"/>
    <w:rsid w:val="007C73DD"/>
    <w:rsid w:val="007D02AA"/>
    <w:rsid w:val="007D0D4F"/>
    <w:rsid w:val="007D1FB0"/>
    <w:rsid w:val="007D2281"/>
    <w:rsid w:val="007D229B"/>
    <w:rsid w:val="007D49F2"/>
    <w:rsid w:val="007D4B0E"/>
    <w:rsid w:val="007D4DB6"/>
    <w:rsid w:val="007D60DF"/>
    <w:rsid w:val="007D76F1"/>
    <w:rsid w:val="007D7855"/>
    <w:rsid w:val="007E0166"/>
    <w:rsid w:val="007E249A"/>
    <w:rsid w:val="007E2FE0"/>
    <w:rsid w:val="007E3478"/>
    <w:rsid w:val="007E394E"/>
    <w:rsid w:val="007E4D3C"/>
    <w:rsid w:val="007E5376"/>
    <w:rsid w:val="007F1AAA"/>
    <w:rsid w:val="007F297B"/>
    <w:rsid w:val="007F3071"/>
    <w:rsid w:val="007F3528"/>
    <w:rsid w:val="007F3653"/>
    <w:rsid w:val="007F3895"/>
    <w:rsid w:val="007F4524"/>
    <w:rsid w:val="007F4CD9"/>
    <w:rsid w:val="007F5B4F"/>
    <w:rsid w:val="007F5D24"/>
    <w:rsid w:val="007F68B6"/>
    <w:rsid w:val="007F7E5B"/>
    <w:rsid w:val="00801960"/>
    <w:rsid w:val="00802994"/>
    <w:rsid w:val="00803286"/>
    <w:rsid w:val="00806D45"/>
    <w:rsid w:val="00807580"/>
    <w:rsid w:val="00810B11"/>
    <w:rsid w:val="00810BFD"/>
    <w:rsid w:val="00810FC6"/>
    <w:rsid w:val="00811939"/>
    <w:rsid w:val="00812749"/>
    <w:rsid w:val="00812772"/>
    <w:rsid w:val="00812F4C"/>
    <w:rsid w:val="00814CE0"/>
    <w:rsid w:val="0081500B"/>
    <w:rsid w:val="00815A4D"/>
    <w:rsid w:val="008217D6"/>
    <w:rsid w:val="0082184D"/>
    <w:rsid w:val="00824B5E"/>
    <w:rsid w:val="00824DB7"/>
    <w:rsid w:val="00825BB4"/>
    <w:rsid w:val="008260E8"/>
    <w:rsid w:val="00827193"/>
    <w:rsid w:val="0083044E"/>
    <w:rsid w:val="0083073E"/>
    <w:rsid w:val="008311E7"/>
    <w:rsid w:val="00835199"/>
    <w:rsid w:val="00835C88"/>
    <w:rsid w:val="00836854"/>
    <w:rsid w:val="00837431"/>
    <w:rsid w:val="008405A5"/>
    <w:rsid w:val="008414DA"/>
    <w:rsid w:val="00841647"/>
    <w:rsid w:val="00841FEA"/>
    <w:rsid w:val="00842D1B"/>
    <w:rsid w:val="00842DA7"/>
    <w:rsid w:val="00843DD6"/>
    <w:rsid w:val="00843F07"/>
    <w:rsid w:val="00845172"/>
    <w:rsid w:val="00845D15"/>
    <w:rsid w:val="00845E89"/>
    <w:rsid w:val="00847710"/>
    <w:rsid w:val="008478F5"/>
    <w:rsid w:val="0085062E"/>
    <w:rsid w:val="00851CFF"/>
    <w:rsid w:val="0085246F"/>
    <w:rsid w:val="00852F39"/>
    <w:rsid w:val="00852FB6"/>
    <w:rsid w:val="00854831"/>
    <w:rsid w:val="00854BB4"/>
    <w:rsid w:val="008551B6"/>
    <w:rsid w:val="00855AF3"/>
    <w:rsid w:val="00856C0C"/>
    <w:rsid w:val="00857A09"/>
    <w:rsid w:val="00860D1E"/>
    <w:rsid w:val="00861AF5"/>
    <w:rsid w:val="008625FB"/>
    <w:rsid w:val="008633B2"/>
    <w:rsid w:val="008636E5"/>
    <w:rsid w:val="00864AA8"/>
    <w:rsid w:val="00864B99"/>
    <w:rsid w:val="008653B8"/>
    <w:rsid w:val="008656E8"/>
    <w:rsid w:val="00865E07"/>
    <w:rsid w:val="00865FD2"/>
    <w:rsid w:val="00866174"/>
    <w:rsid w:val="008668DD"/>
    <w:rsid w:val="00870464"/>
    <w:rsid w:val="00871B7F"/>
    <w:rsid w:val="00875853"/>
    <w:rsid w:val="0087735C"/>
    <w:rsid w:val="0087737F"/>
    <w:rsid w:val="00877AF5"/>
    <w:rsid w:val="00877E0A"/>
    <w:rsid w:val="0088069C"/>
    <w:rsid w:val="00880763"/>
    <w:rsid w:val="0088215A"/>
    <w:rsid w:val="00883012"/>
    <w:rsid w:val="008847EE"/>
    <w:rsid w:val="00884978"/>
    <w:rsid w:val="00884BC0"/>
    <w:rsid w:val="0088679B"/>
    <w:rsid w:val="0088756D"/>
    <w:rsid w:val="0089031A"/>
    <w:rsid w:val="00893855"/>
    <w:rsid w:val="00893A8F"/>
    <w:rsid w:val="0089434D"/>
    <w:rsid w:val="00895D48"/>
    <w:rsid w:val="00896D11"/>
    <w:rsid w:val="00897B1D"/>
    <w:rsid w:val="00897D1B"/>
    <w:rsid w:val="008A02AA"/>
    <w:rsid w:val="008A1CB5"/>
    <w:rsid w:val="008A5590"/>
    <w:rsid w:val="008A574C"/>
    <w:rsid w:val="008A5A25"/>
    <w:rsid w:val="008B0F1F"/>
    <w:rsid w:val="008B1470"/>
    <w:rsid w:val="008B195D"/>
    <w:rsid w:val="008B1D02"/>
    <w:rsid w:val="008B2D7A"/>
    <w:rsid w:val="008B4584"/>
    <w:rsid w:val="008B65A7"/>
    <w:rsid w:val="008B7CD8"/>
    <w:rsid w:val="008C0388"/>
    <w:rsid w:val="008C0B3D"/>
    <w:rsid w:val="008C16A0"/>
    <w:rsid w:val="008C1E63"/>
    <w:rsid w:val="008C2950"/>
    <w:rsid w:val="008C2BB2"/>
    <w:rsid w:val="008C50EB"/>
    <w:rsid w:val="008C5B99"/>
    <w:rsid w:val="008C625C"/>
    <w:rsid w:val="008C6D47"/>
    <w:rsid w:val="008C6ED4"/>
    <w:rsid w:val="008D0935"/>
    <w:rsid w:val="008D1B9C"/>
    <w:rsid w:val="008D3D7C"/>
    <w:rsid w:val="008D4BE2"/>
    <w:rsid w:val="008D53CF"/>
    <w:rsid w:val="008D589E"/>
    <w:rsid w:val="008D5C83"/>
    <w:rsid w:val="008D73A5"/>
    <w:rsid w:val="008E0541"/>
    <w:rsid w:val="008E09C2"/>
    <w:rsid w:val="008E0B97"/>
    <w:rsid w:val="008E0C42"/>
    <w:rsid w:val="008E0C5B"/>
    <w:rsid w:val="008E270C"/>
    <w:rsid w:val="008E3E17"/>
    <w:rsid w:val="008E42EE"/>
    <w:rsid w:val="008E54EF"/>
    <w:rsid w:val="008E5EC0"/>
    <w:rsid w:val="008E7089"/>
    <w:rsid w:val="008E7AA9"/>
    <w:rsid w:val="008E7B25"/>
    <w:rsid w:val="008E7C4D"/>
    <w:rsid w:val="008F1E62"/>
    <w:rsid w:val="008F26E9"/>
    <w:rsid w:val="008F2B40"/>
    <w:rsid w:val="008F2F6E"/>
    <w:rsid w:val="008F45D8"/>
    <w:rsid w:val="008F4629"/>
    <w:rsid w:val="008F472D"/>
    <w:rsid w:val="008F5028"/>
    <w:rsid w:val="008F5E5C"/>
    <w:rsid w:val="008F5EF1"/>
    <w:rsid w:val="008F690A"/>
    <w:rsid w:val="009000E3"/>
    <w:rsid w:val="00900247"/>
    <w:rsid w:val="00901D12"/>
    <w:rsid w:val="0090208D"/>
    <w:rsid w:val="0090270E"/>
    <w:rsid w:val="009033DA"/>
    <w:rsid w:val="009039F1"/>
    <w:rsid w:val="00904196"/>
    <w:rsid w:val="00904A02"/>
    <w:rsid w:val="00904DD0"/>
    <w:rsid w:val="009066BF"/>
    <w:rsid w:val="00907632"/>
    <w:rsid w:val="00907E77"/>
    <w:rsid w:val="00911F85"/>
    <w:rsid w:val="009120B8"/>
    <w:rsid w:val="00912C61"/>
    <w:rsid w:val="00914147"/>
    <w:rsid w:val="009143B8"/>
    <w:rsid w:val="00914641"/>
    <w:rsid w:val="00914971"/>
    <w:rsid w:val="009158AF"/>
    <w:rsid w:val="00915C38"/>
    <w:rsid w:val="00917546"/>
    <w:rsid w:val="00920498"/>
    <w:rsid w:val="00920F53"/>
    <w:rsid w:val="00920FC2"/>
    <w:rsid w:val="00921040"/>
    <w:rsid w:val="009210F4"/>
    <w:rsid w:val="0092121B"/>
    <w:rsid w:val="00923409"/>
    <w:rsid w:val="00923780"/>
    <w:rsid w:val="00923D2F"/>
    <w:rsid w:val="0092426A"/>
    <w:rsid w:val="00924AF5"/>
    <w:rsid w:val="00924B21"/>
    <w:rsid w:val="00925E2A"/>
    <w:rsid w:val="00926023"/>
    <w:rsid w:val="00926442"/>
    <w:rsid w:val="00926E2F"/>
    <w:rsid w:val="0092767F"/>
    <w:rsid w:val="00927972"/>
    <w:rsid w:val="00930BEE"/>
    <w:rsid w:val="00931540"/>
    <w:rsid w:val="0093161D"/>
    <w:rsid w:val="0093172F"/>
    <w:rsid w:val="00932244"/>
    <w:rsid w:val="00932DD4"/>
    <w:rsid w:val="00934291"/>
    <w:rsid w:val="00935525"/>
    <w:rsid w:val="00935F6C"/>
    <w:rsid w:val="009372F0"/>
    <w:rsid w:val="00937562"/>
    <w:rsid w:val="00940F96"/>
    <w:rsid w:val="00941469"/>
    <w:rsid w:val="00941B5E"/>
    <w:rsid w:val="00942227"/>
    <w:rsid w:val="009428BE"/>
    <w:rsid w:val="0094301D"/>
    <w:rsid w:val="00946F0F"/>
    <w:rsid w:val="00947B2C"/>
    <w:rsid w:val="00947FEF"/>
    <w:rsid w:val="009505D1"/>
    <w:rsid w:val="00952047"/>
    <w:rsid w:val="00952CE5"/>
    <w:rsid w:val="009530B1"/>
    <w:rsid w:val="0095530D"/>
    <w:rsid w:val="00956006"/>
    <w:rsid w:val="0095717D"/>
    <w:rsid w:val="009576A5"/>
    <w:rsid w:val="00957A11"/>
    <w:rsid w:val="009618EA"/>
    <w:rsid w:val="0096457C"/>
    <w:rsid w:val="00964E7D"/>
    <w:rsid w:val="00965125"/>
    <w:rsid w:val="009672AC"/>
    <w:rsid w:val="0096736A"/>
    <w:rsid w:val="009701BA"/>
    <w:rsid w:val="009704BB"/>
    <w:rsid w:val="00970CFC"/>
    <w:rsid w:val="009710A8"/>
    <w:rsid w:val="009714DD"/>
    <w:rsid w:val="00971AB7"/>
    <w:rsid w:val="00971F60"/>
    <w:rsid w:val="00972016"/>
    <w:rsid w:val="009737E0"/>
    <w:rsid w:val="009738B1"/>
    <w:rsid w:val="00975A18"/>
    <w:rsid w:val="00977274"/>
    <w:rsid w:val="0098029E"/>
    <w:rsid w:val="0098332C"/>
    <w:rsid w:val="00986340"/>
    <w:rsid w:val="009900CE"/>
    <w:rsid w:val="0099082E"/>
    <w:rsid w:val="0099125D"/>
    <w:rsid w:val="009917D0"/>
    <w:rsid w:val="009922F1"/>
    <w:rsid w:val="0099267A"/>
    <w:rsid w:val="00992F70"/>
    <w:rsid w:val="00992FA8"/>
    <w:rsid w:val="009932B1"/>
    <w:rsid w:val="00993A01"/>
    <w:rsid w:val="009941AC"/>
    <w:rsid w:val="009953B5"/>
    <w:rsid w:val="00995742"/>
    <w:rsid w:val="009957F2"/>
    <w:rsid w:val="009963FB"/>
    <w:rsid w:val="00997EF8"/>
    <w:rsid w:val="009A002E"/>
    <w:rsid w:val="009A23E0"/>
    <w:rsid w:val="009A26FD"/>
    <w:rsid w:val="009A2A94"/>
    <w:rsid w:val="009A3957"/>
    <w:rsid w:val="009A3C32"/>
    <w:rsid w:val="009A4E5F"/>
    <w:rsid w:val="009A56DF"/>
    <w:rsid w:val="009A5AD7"/>
    <w:rsid w:val="009B184F"/>
    <w:rsid w:val="009B2365"/>
    <w:rsid w:val="009B48D8"/>
    <w:rsid w:val="009B58FD"/>
    <w:rsid w:val="009B5FD4"/>
    <w:rsid w:val="009B6862"/>
    <w:rsid w:val="009B7216"/>
    <w:rsid w:val="009C00C1"/>
    <w:rsid w:val="009C142F"/>
    <w:rsid w:val="009C25D0"/>
    <w:rsid w:val="009C38BF"/>
    <w:rsid w:val="009C46A6"/>
    <w:rsid w:val="009C5795"/>
    <w:rsid w:val="009C5A06"/>
    <w:rsid w:val="009C634F"/>
    <w:rsid w:val="009C63ED"/>
    <w:rsid w:val="009C671B"/>
    <w:rsid w:val="009C6D08"/>
    <w:rsid w:val="009C6EE5"/>
    <w:rsid w:val="009C6F86"/>
    <w:rsid w:val="009C7C99"/>
    <w:rsid w:val="009D14BC"/>
    <w:rsid w:val="009D194F"/>
    <w:rsid w:val="009D2550"/>
    <w:rsid w:val="009D37F0"/>
    <w:rsid w:val="009D4A6D"/>
    <w:rsid w:val="009D4D98"/>
    <w:rsid w:val="009D4EF4"/>
    <w:rsid w:val="009D6837"/>
    <w:rsid w:val="009D691A"/>
    <w:rsid w:val="009D7BB9"/>
    <w:rsid w:val="009E2FDB"/>
    <w:rsid w:val="009E3FF6"/>
    <w:rsid w:val="009E4817"/>
    <w:rsid w:val="009E4EF4"/>
    <w:rsid w:val="009E54D5"/>
    <w:rsid w:val="009E5623"/>
    <w:rsid w:val="009E5DE3"/>
    <w:rsid w:val="009E6F06"/>
    <w:rsid w:val="009E73CF"/>
    <w:rsid w:val="009E76F9"/>
    <w:rsid w:val="009F1BE4"/>
    <w:rsid w:val="009F52DE"/>
    <w:rsid w:val="009F5522"/>
    <w:rsid w:val="009F5909"/>
    <w:rsid w:val="009F7FE6"/>
    <w:rsid w:val="00A004C2"/>
    <w:rsid w:val="00A015B2"/>
    <w:rsid w:val="00A0180E"/>
    <w:rsid w:val="00A01892"/>
    <w:rsid w:val="00A018C2"/>
    <w:rsid w:val="00A03C5F"/>
    <w:rsid w:val="00A04BD0"/>
    <w:rsid w:val="00A058E7"/>
    <w:rsid w:val="00A05CB1"/>
    <w:rsid w:val="00A069AA"/>
    <w:rsid w:val="00A07F53"/>
    <w:rsid w:val="00A10E97"/>
    <w:rsid w:val="00A11A3A"/>
    <w:rsid w:val="00A14400"/>
    <w:rsid w:val="00A14FF8"/>
    <w:rsid w:val="00A17CBD"/>
    <w:rsid w:val="00A21355"/>
    <w:rsid w:val="00A223D2"/>
    <w:rsid w:val="00A22B44"/>
    <w:rsid w:val="00A30479"/>
    <w:rsid w:val="00A305B5"/>
    <w:rsid w:val="00A31006"/>
    <w:rsid w:val="00A33F1E"/>
    <w:rsid w:val="00A34227"/>
    <w:rsid w:val="00A34D73"/>
    <w:rsid w:val="00A3567C"/>
    <w:rsid w:val="00A35F55"/>
    <w:rsid w:val="00A375D1"/>
    <w:rsid w:val="00A40557"/>
    <w:rsid w:val="00A4133B"/>
    <w:rsid w:val="00A4187C"/>
    <w:rsid w:val="00A4511E"/>
    <w:rsid w:val="00A4518B"/>
    <w:rsid w:val="00A45312"/>
    <w:rsid w:val="00A45421"/>
    <w:rsid w:val="00A47CFF"/>
    <w:rsid w:val="00A47D07"/>
    <w:rsid w:val="00A500AA"/>
    <w:rsid w:val="00A50817"/>
    <w:rsid w:val="00A5131C"/>
    <w:rsid w:val="00A51B4C"/>
    <w:rsid w:val="00A5293B"/>
    <w:rsid w:val="00A52E1A"/>
    <w:rsid w:val="00A533AF"/>
    <w:rsid w:val="00A53C67"/>
    <w:rsid w:val="00A540D0"/>
    <w:rsid w:val="00A546DF"/>
    <w:rsid w:val="00A55D76"/>
    <w:rsid w:val="00A55EBB"/>
    <w:rsid w:val="00A568D2"/>
    <w:rsid w:val="00A5708D"/>
    <w:rsid w:val="00A61141"/>
    <w:rsid w:val="00A618ED"/>
    <w:rsid w:val="00A623D9"/>
    <w:rsid w:val="00A63D32"/>
    <w:rsid w:val="00A6415B"/>
    <w:rsid w:val="00A65A95"/>
    <w:rsid w:val="00A65F65"/>
    <w:rsid w:val="00A6638B"/>
    <w:rsid w:val="00A6641B"/>
    <w:rsid w:val="00A66639"/>
    <w:rsid w:val="00A66BD1"/>
    <w:rsid w:val="00A6733A"/>
    <w:rsid w:val="00A6737F"/>
    <w:rsid w:val="00A707E2"/>
    <w:rsid w:val="00A70F5A"/>
    <w:rsid w:val="00A726F4"/>
    <w:rsid w:val="00A73DA6"/>
    <w:rsid w:val="00A77D09"/>
    <w:rsid w:val="00A81966"/>
    <w:rsid w:val="00A81A35"/>
    <w:rsid w:val="00A82378"/>
    <w:rsid w:val="00A827F9"/>
    <w:rsid w:val="00A82879"/>
    <w:rsid w:val="00A82D4E"/>
    <w:rsid w:val="00A85B95"/>
    <w:rsid w:val="00A86596"/>
    <w:rsid w:val="00A867A9"/>
    <w:rsid w:val="00A8704C"/>
    <w:rsid w:val="00A90153"/>
    <w:rsid w:val="00A938ED"/>
    <w:rsid w:val="00A93CBC"/>
    <w:rsid w:val="00A93EA2"/>
    <w:rsid w:val="00A95CFF"/>
    <w:rsid w:val="00A96EA4"/>
    <w:rsid w:val="00A971C5"/>
    <w:rsid w:val="00A97C20"/>
    <w:rsid w:val="00A97CA5"/>
    <w:rsid w:val="00A97D66"/>
    <w:rsid w:val="00AA00B4"/>
    <w:rsid w:val="00AA0D69"/>
    <w:rsid w:val="00AA1A07"/>
    <w:rsid w:val="00AA208B"/>
    <w:rsid w:val="00AA323F"/>
    <w:rsid w:val="00AA46E8"/>
    <w:rsid w:val="00AA4738"/>
    <w:rsid w:val="00AA4D74"/>
    <w:rsid w:val="00AA502E"/>
    <w:rsid w:val="00AA72AA"/>
    <w:rsid w:val="00AB0976"/>
    <w:rsid w:val="00AB12FE"/>
    <w:rsid w:val="00AB1EA9"/>
    <w:rsid w:val="00AB1FB5"/>
    <w:rsid w:val="00AB2059"/>
    <w:rsid w:val="00AB2B87"/>
    <w:rsid w:val="00AB3BCC"/>
    <w:rsid w:val="00AB4266"/>
    <w:rsid w:val="00AB54EA"/>
    <w:rsid w:val="00AB5C86"/>
    <w:rsid w:val="00AB74EA"/>
    <w:rsid w:val="00AB7C02"/>
    <w:rsid w:val="00AB7F9C"/>
    <w:rsid w:val="00AC194A"/>
    <w:rsid w:val="00AC1D1C"/>
    <w:rsid w:val="00AC349E"/>
    <w:rsid w:val="00AC3563"/>
    <w:rsid w:val="00AC4CAD"/>
    <w:rsid w:val="00AC5E5D"/>
    <w:rsid w:val="00AC69AE"/>
    <w:rsid w:val="00AC72B2"/>
    <w:rsid w:val="00AD00DD"/>
    <w:rsid w:val="00AD165B"/>
    <w:rsid w:val="00AD178C"/>
    <w:rsid w:val="00AD17E0"/>
    <w:rsid w:val="00AD2148"/>
    <w:rsid w:val="00AD23AD"/>
    <w:rsid w:val="00AD2617"/>
    <w:rsid w:val="00AD3250"/>
    <w:rsid w:val="00AD3E91"/>
    <w:rsid w:val="00AD4AD3"/>
    <w:rsid w:val="00AD50B4"/>
    <w:rsid w:val="00AD5C79"/>
    <w:rsid w:val="00AD626C"/>
    <w:rsid w:val="00AD6770"/>
    <w:rsid w:val="00AE06BC"/>
    <w:rsid w:val="00AE11C0"/>
    <w:rsid w:val="00AE174E"/>
    <w:rsid w:val="00AE1C31"/>
    <w:rsid w:val="00AE2352"/>
    <w:rsid w:val="00AE25B6"/>
    <w:rsid w:val="00AE2776"/>
    <w:rsid w:val="00AE2CA0"/>
    <w:rsid w:val="00AE4D07"/>
    <w:rsid w:val="00AE60DA"/>
    <w:rsid w:val="00AE6960"/>
    <w:rsid w:val="00AE69D8"/>
    <w:rsid w:val="00AE76B6"/>
    <w:rsid w:val="00AE77EF"/>
    <w:rsid w:val="00AF132B"/>
    <w:rsid w:val="00AF21CD"/>
    <w:rsid w:val="00AF4E64"/>
    <w:rsid w:val="00AF63FF"/>
    <w:rsid w:val="00AF67DD"/>
    <w:rsid w:val="00AF6FA0"/>
    <w:rsid w:val="00AF7204"/>
    <w:rsid w:val="00B00439"/>
    <w:rsid w:val="00B00CC6"/>
    <w:rsid w:val="00B00FA6"/>
    <w:rsid w:val="00B0124B"/>
    <w:rsid w:val="00B02062"/>
    <w:rsid w:val="00B02E8F"/>
    <w:rsid w:val="00B03548"/>
    <w:rsid w:val="00B03AED"/>
    <w:rsid w:val="00B0576A"/>
    <w:rsid w:val="00B06257"/>
    <w:rsid w:val="00B07760"/>
    <w:rsid w:val="00B0798F"/>
    <w:rsid w:val="00B1085C"/>
    <w:rsid w:val="00B10904"/>
    <w:rsid w:val="00B11164"/>
    <w:rsid w:val="00B13416"/>
    <w:rsid w:val="00B134FE"/>
    <w:rsid w:val="00B13D86"/>
    <w:rsid w:val="00B156C5"/>
    <w:rsid w:val="00B163B4"/>
    <w:rsid w:val="00B16423"/>
    <w:rsid w:val="00B16DE3"/>
    <w:rsid w:val="00B17840"/>
    <w:rsid w:val="00B2016A"/>
    <w:rsid w:val="00B21C47"/>
    <w:rsid w:val="00B224A6"/>
    <w:rsid w:val="00B23ED5"/>
    <w:rsid w:val="00B241B6"/>
    <w:rsid w:val="00B24E9E"/>
    <w:rsid w:val="00B25D13"/>
    <w:rsid w:val="00B262BE"/>
    <w:rsid w:val="00B2737A"/>
    <w:rsid w:val="00B27846"/>
    <w:rsid w:val="00B305F8"/>
    <w:rsid w:val="00B309FF"/>
    <w:rsid w:val="00B30BB1"/>
    <w:rsid w:val="00B3221A"/>
    <w:rsid w:val="00B33572"/>
    <w:rsid w:val="00B339B3"/>
    <w:rsid w:val="00B33A4F"/>
    <w:rsid w:val="00B34FA5"/>
    <w:rsid w:val="00B3527C"/>
    <w:rsid w:val="00B369A2"/>
    <w:rsid w:val="00B409D4"/>
    <w:rsid w:val="00B40A81"/>
    <w:rsid w:val="00B47114"/>
    <w:rsid w:val="00B473DD"/>
    <w:rsid w:val="00B5007F"/>
    <w:rsid w:val="00B54556"/>
    <w:rsid w:val="00B56682"/>
    <w:rsid w:val="00B60050"/>
    <w:rsid w:val="00B608EB"/>
    <w:rsid w:val="00B61DB9"/>
    <w:rsid w:val="00B62927"/>
    <w:rsid w:val="00B6464F"/>
    <w:rsid w:val="00B65A77"/>
    <w:rsid w:val="00B66463"/>
    <w:rsid w:val="00B671A5"/>
    <w:rsid w:val="00B701F5"/>
    <w:rsid w:val="00B70808"/>
    <w:rsid w:val="00B721CE"/>
    <w:rsid w:val="00B727EF"/>
    <w:rsid w:val="00B742EA"/>
    <w:rsid w:val="00B7550C"/>
    <w:rsid w:val="00B75DE1"/>
    <w:rsid w:val="00B763F1"/>
    <w:rsid w:val="00B76C91"/>
    <w:rsid w:val="00B774EC"/>
    <w:rsid w:val="00B8032E"/>
    <w:rsid w:val="00B81418"/>
    <w:rsid w:val="00B8180F"/>
    <w:rsid w:val="00B81F50"/>
    <w:rsid w:val="00B82276"/>
    <w:rsid w:val="00B823BA"/>
    <w:rsid w:val="00B823F3"/>
    <w:rsid w:val="00B8276F"/>
    <w:rsid w:val="00B827B1"/>
    <w:rsid w:val="00B83676"/>
    <w:rsid w:val="00B84501"/>
    <w:rsid w:val="00B85287"/>
    <w:rsid w:val="00B85470"/>
    <w:rsid w:val="00B85CC9"/>
    <w:rsid w:val="00B8614B"/>
    <w:rsid w:val="00B87441"/>
    <w:rsid w:val="00B90407"/>
    <w:rsid w:val="00B904FA"/>
    <w:rsid w:val="00B90B08"/>
    <w:rsid w:val="00B91637"/>
    <w:rsid w:val="00B91705"/>
    <w:rsid w:val="00B919EF"/>
    <w:rsid w:val="00B91EEB"/>
    <w:rsid w:val="00B92E15"/>
    <w:rsid w:val="00B93592"/>
    <w:rsid w:val="00B96CB8"/>
    <w:rsid w:val="00B96D37"/>
    <w:rsid w:val="00B97E7D"/>
    <w:rsid w:val="00BA1818"/>
    <w:rsid w:val="00BA1CD4"/>
    <w:rsid w:val="00BA1FD9"/>
    <w:rsid w:val="00BA2ABF"/>
    <w:rsid w:val="00BA2E30"/>
    <w:rsid w:val="00BA3DD8"/>
    <w:rsid w:val="00BA4B68"/>
    <w:rsid w:val="00BA6EC5"/>
    <w:rsid w:val="00BA6F66"/>
    <w:rsid w:val="00BB12C8"/>
    <w:rsid w:val="00BB2D3B"/>
    <w:rsid w:val="00BB3027"/>
    <w:rsid w:val="00BB302C"/>
    <w:rsid w:val="00BB3A28"/>
    <w:rsid w:val="00BB3B00"/>
    <w:rsid w:val="00BB4242"/>
    <w:rsid w:val="00BB5C60"/>
    <w:rsid w:val="00BB669A"/>
    <w:rsid w:val="00BB6FD5"/>
    <w:rsid w:val="00BB7200"/>
    <w:rsid w:val="00BB79CB"/>
    <w:rsid w:val="00BC0279"/>
    <w:rsid w:val="00BC0386"/>
    <w:rsid w:val="00BC09C4"/>
    <w:rsid w:val="00BC0DBB"/>
    <w:rsid w:val="00BC10C4"/>
    <w:rsid w:val="00BC1F1D"/>
    <w:rsid w:val="00BC273E"/>
    <w:rsid w:val="00BC296A"/>
    <w:rsid w:val="00BC297B"/>
    <w:rsid w:val="00BC3AA0"/>
    <w:rsid w:val="00BC5AD9"/>
    <w:rsid w:val="00BC60C4"/>
    <w:rsid w:val="00BC68F0"/>
    <w:rsid w:val="00BD0AAF"/>
    <w:rsid w:val="00BD1483"/>
    <w:rsid w:val="00BD3A3C"/>
    <w:rsid w:val="00BD3B3E"/>
    <w:rsid w:val="00BD3EC0"/>
    <w:rsid w:val="00BD42B0"/>
    <w:rsid w:val="00BD4382"/>
    <w:rsid w:val="00BD5BEC"/>
    <w:rsid w:val="00BD661C"/>
    <w:rsid w:val="00BD6BC4"/>
    <w:rsid w:val="00BD7122"/>
    <w:rsid w:val="00BD75D4"/>
    <w:rsid w:val="00BD7609"/>
    <w:rsid w:val="00BD7FDB"/>
    <w:rsid w:val="00BE2760"/>
    <w:rsid w:val="00BE29DB"/>
    <w:rsid w:val="00BE2B27"/>
    <w:rsid w:val="00BE5221"/>
    <w:rsid w:val="00BF0EB1"/>
    <w:rsid w:val="00BF2ABF"/>
    <w:rsid w:val="00BF2D2C"/>
    <w:rsid w:val="00BF41FB"/>
    <w:rsid w:val="00BF43DC"/>
    <w:rsid w:val="00BF51F8"/>
    <w:rsid w:val="00BF5498"/>
    <w:rsid w:val="00BF732E"/>
    <w:rsid w:val="00BF7A25"/>
    <w:rsid w:val="00BF7B70"/>
    <w:rsid w:val="00C00275"/>
    <w:rsid w:val="00C009B3"/>
    <w:rsid w:val="00C01ECA"/>
    <w:rsid w:val="00C02E56"/>
    <w:rsid w:val="00C03782"/>
    <w:rsid w:val="00C059AC"/>
    <w:rsid w:val="00C06747"/>
    <w:rsid w:val="00C07569"/>
    <w:rsid w:val="00C07D57"/>
    <w:rsid w:val="00C100E3"/>
    <w:rsid w:val="00C1102B"/>
    <w:rsid w:val="00C1102D"/>
    <w:rsid w:val="00C112B0"/>
    <w:rsid w:val="00C11844"/>
    <w:rsid w:val="00C11CDB"/>
    <w:rsid w:val="00C1203B"/>
    <w:rsid w:val="00C141A9"/>
    <w:rsid w:val="00C1489E"/>
    <w:rsid w:val="00C152F5"/>
    <w:rsid w:val="00C20B25"/>
    <w:rsid w:val="00C21AC1"/>
    <w:rsid w:val="00C22FD5"/>
    <w:rsid w:val="00C2355C"/>
    <w:rsid w:val="00C24CEC"/>
    <w:rsid w:val="00C24D90"/>
    <w:rsid w:val="00C254C4"/>
    <w:rsid w:val="00C273EE"/>
    <w:rsid w:val="00C3028C"/>
    <w:rsid w:val="00C31868"/>
    <w:rsid w:val="00C31F83"/>
    <w:rsid w:val="00C343A5"/>
    <w:rsid w:val="00C3463B"/>
    <w:rsid w:val="00C34A61"/>
    <w:rsid w:val="00C3669A"/>
    <w:rsid w:val="00C40307"/>
    <w:rsid w:val="00C40C35"/>
    <w:rsid w:val="00C40F48"/>
    <w:rsid w:val="00C40F9C"/>
    <w:rsid w:val="00C43223"/>
    <w:rsid w:val="00C441D7"/>
    <w:rsid w:val="00C4449D"/>
    <w:rsid w:val="00C44D7D"/>
    <w:rsid w:val="00C45C84"/>
    <w:rsid w:val="00C466C1"/>
    <w:rsid w:val="00C46D48"/>
    <w:rsid w:val="00C470EC"/>
    <w:rsid w:val="00C47372"/>
    <w:rsid w:val="00C47C62"/>
    <w:rsid w:val="00C505F6"/>
    <w:rsid w:val="00C510E6"/>
    <w:rsid w:val="00C52CA5"/>
    <w:rsid w:val="00C5408A"/>
    <w:rsid w:val="00C54E45"/>
    <w:rsid w:val="00C557ED"/>
    <w:rsid w:val="00C55EAD"/>
    <w:rsid w:val="00C574A3"/>
    <w:rsid w:val="00C5782F"/>
    <w:rsid w:val="00C60E90"/>
    <w:rsid w:val="00C6178F"/>
    <w:rsid w:val="00C6186A"/>
    <w:rsid w:val="00C61CA1"/>
    <w:rsid w:val="00C62846"/>
    <w:rsid w:val="00C6294B"/>
    <w:rsid w:val="00C62FD1"/>
    <w:rsid w:val="00C64521"/>
    <w:rsid w:val="00C64838"/>
    <w:rsid w:val="00C65AE5"/>
    <w:rsid w:val="00C66FE6"/>
    <w:rsid w:val="00C700E5"/>
    <w:rsid w:val="00C70635"/>
    <w:rsid w:val="00C70C2A"/>
    <w:rsid w:val="00C72210"/>
    <w:rsid w:val="00C7243E"/>
    <w:rsid w:val="00C7525C"/>
    <w:rsid w:val="00C76B2E"/>
    <w:rsid w:val="00C76CD8"/>
    <w:rsid w:val="00C76E8C"/>
    <w:rsid w:val="00C77D2F"/>
    <w:rsid w:val="00C77DDE"/>
    <w:rsid w:val="00C82559"/>
    <w:rsid w:val="00C82E28"/>
    <w:rsid w:val="00C839BF"/>
    <w:rsid w:val="00C8432F"/>
    <w:rsid w:val="00C84CBF"/>
    <w:rsid w:val="00C877BD"/>
    <w:rsid w:val="00C87D2F"/>
    <w:rsid w:val="00C9032E"/>
    <w:rsid w:val="00C90726"/>
    <w:rsid w:val="00C91626"/>
    <w:rsid w:val="00C9206A"/>
    <w:rsid w:val="00C93020"/>
    <w:rsid w:val="00C93A6C"/>
    <w:rsid w:val="00C95650"/>
    <w:rsid w:val="00C95AC2"/>
    <w:rsid w:val="00C96B3F"/>
    <w:rsid w:val="00C97F87"/>
    <w:rsid w:val="00CA079C"/>
    <w:rsid w:val="00CA09B9"/>
    <w:rsid w:val="00CA1FC8"/>
    <w:rsid w:val="00CA2B09"/>
    <w:rsid w:val="00CA301A"/>
    <w:rsid w:val="00CA5A3C"/>
    <w:rsid w:val="00CA701A"/>
    <w:rsid w:val="00CB0A97"/>
    <w:rsid w:val="00CB192E"/>
    <w:rsid w:val="00CB2099"/>
    <w:rsid w:val="00CB27E7"/>
    <w:rsid w:val="00CB2A5B"/>
    <w:rsid w:val="00CB2F0D"/>
    <w:rsid w:val="00CB3BDD"/>
    <w:rsid w:val="00CB3E4D"/>
    <w:rsid w:val="00CB4B12"/>
    <w:rsid w:val="00CB6CB0"/>
    <w:rsid w:val="00CB7B25"/>
    <w:rsid w:val="00CB7CF7"/>
    <w:rsid w:val="00CC4A52"/>
    <w:rsid w:val="00CC4E69"/>
    <w:rsid w:val="00CC6258"/>
    <w:rsid w:val="00CC77E2"/>
    <w:rsid w:val="00CC7AE0"/>
    <w:rsid w:val="00CC7E8A"/>
    <w:rsid w:val="00CD0AAB"/>
    <w:rsid w:val="00CD298D"/>
    <w:rsid w:val="00CD3577"/>
    <w:rsid w:val="00CD3ED9"/>
    <w:rsid w:val="00CD46BE"/>
    <w:rsid w:val="00CD4DBD"/>
    <w:rsid w:val="00CD552D"/>
    <w:rsid w:val="00CD5E6F"/>
    <w:rsid w:val="00CD6138"/>
    <w:rsid w:val="00CD7D49"/>
    <w:rsid w:val="00CE051D"/>
    <w:rsid w:val="00CE1CBD"/>
    <w:rsid w:val="00CE22ED"/>
    <w:rsid w:val="00CE23E0"/>
    <w:rsid w:val="00CE347F"/>
    <w:rsid w:val="00CE3DBB"/>
    <w:rsid w:val="00CE3EEA"/>
    <w:rsid w:val="00CE485F"/>
    <w:rsid w:val="00CE48C4"/>
    <w:rsid w:val="00CE4D7A"/>
    <w:rsid w:val="00CE58C9"/>
    <w:rsid w:val="00CE5C79"/>
    <w:rsid w:val="00CE63EB"/>
    <w:rsid w:val="00CE70E8"/>
    <w:rsid w:val="00CE751D"/>
    <w:rsid w:val="00CF15A0"/>
    <w:rsid w:val="00CF3A38"/>
    <w:rsid w:val="00CF4E3F"/>
    <w:rsid w:val="00CF50CE"/>
    <w:rsid w:val="00CF60CE"/>
    <w:rsid w:val="00CF65FB"/>
    <w:rsid w:val="00CF7ED1"/>
    <w:rsid w:val="00D01083"/>
    <w:rsid w:val="00D02197"/>
    <w:rsid w:val="00D039B0"/>
    <w:rsid w:val="00D040BB"/>
    <w:rsid w:val="00D04921"/>
    <w:rsid w:val="00D05AA3"/>
    <w:rsid w:val="00D05E5A"/>
    <w:rsid w:val="00D05FB9"/>
    <w:rsid w:val="00D06845"/>
    <w:rsid w:val="00D06CD9"/>
    <w:rsid w:val="00D06DD4"/>
    <w:rsid w:val="00D07EEC"/>
    <w:rsid w:val="00D13A2D"/>
    <w:rsid w:val="00D159AB"/>
    <w:rsid w:val="00D210E2"/>
    <w:rsid w:val="00D21347"/>
    <w:rsid w:val="00D213F2"/>
    <w:rsid w:val="00D22845"/>
    <w:rsid w:val="00D22848"/>
    <w:rsid w:val="00D232D3"/>
    <w:rsid w:val="00D26B80"/>
    <w:rsid w:val="00D27460"/>
    <w:rsid w:val="00D277A1"/>
    <w:rsid w:val="00D27CF2"/>
    <w:rsid w:val="00D3050C"/>
    <w:rsid w:val="00D30BF3"/>
    <w:rsid w:val="00D31665"/>
    <w:rsid w:val="00D31C33"/>
    <w:rsid w:val="00D32370"/>
    <w:rsid w:val="00D32398"/>
    <w:rsid w:val="00D33618"/>
    <w:rsid w:val="00D34895"/>
    <w:rsid w:val="00D354CB"/>
    <w:rsid w:val="00D35B56"/>
    <w:rsid w:val="00D415D1"/>
    <w:rsid w:val="00D41850"/>
    <w:rsid w:val="00D41B03"/>
    <w:rsid w:val="00D41F6B"/>
    <w:rsid w:val="00D42046"/>
    <w:rsid w:val="00D42070"/>
    <w:rsid w:val="00D4240F"/>
    <w:rsid w:val="00D43312"/>
    <w:rsid w:val="00D43A09"/>
    <w:rsid w:val="00D458FB"/>
    <w:rsid w:val="00D45AD4"/>
    <w:rsid w:val="00D47A81"/>
    <w:rsid w:val="00D50977"/>
    <w:rsid w:val="00D50AF5"/>
    <w:rsid w:val="00D50C03"/>
    <w:rsid w:val="00D52015"/>
    <w:rsid w:val="00D544F4"/>
    <w:rsid w:val="00D54A62"/>
    <w:rsid w:val="00D55689"/>
    <w:rsid w:val="00D557D9"/>
    <w:rsid w:val="00D5622E"/>
    <w:rsid w:val="00D601CD"/>
    <w:rsid w:val="00D603EE"/>
    <w:rsid w:val="00D611CB"/>
    <w:rsid w:val="00D612E4"/>
    <w:rsid w:val="00D62231"/>
    <w:rsid w:val="00D62574"/>
    <w:rsid w:val="00D62DC9"/>
    <w:rsid w:val="00D62E0A"/>
    <w:rsid w:val="00D63000"/>
    <w:rsid w:val="00D6477D"/>
    <w:rsid w:val="00D64C75"/>
    <w:rsid w:val="00D650B2"/>
    <w:rsid w:val="00D651D4"/>
    <w:rsid w:val="00D65D45"/>
    <w:rsid w:val="00D66317"/>
    <w:rsid w:val="00D66982"/>
    <w:rsid w:val="00D67097"/>
    <w:rsid w:val="00D6711E"/>
    <w:rsid w:val="00D6718E"/>
    <w:rsid w:val="00D67A88"/>
    <w:rsid w:val="00D705A7"/>
    <w:rsid w:val="00D712E8"/>
    <w:rsid w:val="00D71B40"/>
    <w:rsid w:val="00D724F3"/>
    <w:rsid w:val="00D76F09"/>
    <w:rsid w:val="00D77A09"/>
    <w:rsid w:val="00D77EB4"/>
    <w:rsid w:val="00D819F6"/>
    <w:rsid w:val="00D81A99"/>
    <w:rsid w:val="00D81EA9"/>
    <w:rsid w:val="00D81F6A"/>
    <w:rsid w:val="00D824D1"/>
    <w:rsid w:val="00D829ED"/>
    <w:rsid w:val="00D8306B"/>
    <w:rsid w:val="00D83C62"/>
    <w:rsid w:val="00D84B42"/>
    <w:rsid w:val="00D87F3B"/>
    <w:rsid w:val="00D91F37"/>
    <w:rsid w:val="00D9460E"/>
    <w:rsid w:val="00D9605A"/>
    <w:rsid w:val="00D97758"/>
    <w:rsid w:val="00D97A96"/>
    <w:rsid w:val="00D97B7E"/>
    <w:rsid w:val="00DA064B"/>
    <w:rsid w:val="00DA1638"/>
    <w:rsid w:val="00DA1720"/>
    <w:rsid w:val="00DA1890"/>
    <w:rsid w:val="00DA22E6"/>
    <w:rsid w:val="00DA263C"/>
    <w:rsid w:val="00DA2DBC"/>
    <w:rsid w:val="00DA33F0"/>
    <w:rsid w:val="00DA59EE"/>
    <w:rsid w:val="00DB01EB"/>
    <w:rsid w:val="00DB0D67"/>
    <w:rsid w:val="00DB177C"/>
    <w:rsid w:val="00DB18AA"/>
    <w:rsid w:val="00DB26CC"/>
    <w:rsid w:val="00DB3BE7"/>
    <w:rsid w:val="00DB444F"/>
    <w:rsid w:val="00DB47D1"/>
    <w:rsid w:val="00DB4E19"/>
    <w:rsid w:val="00DC0179"/>
    <w:rsid w:val="00DC213B"/>
    <w:rsid w:val="00DC2698"/>
    <w:rsid w:val="00DC286C"/>
    <w:rsid w:val="00DC2D98"/>
    <w:rsid w:val="00DC4545"/>
    <w:rsid w:val="00DC6A80"/>
    <w:rsid w:val="00DC6FF8"/>
    <w:rsid w:val="00DC79C0"/>
    <w:rsid w:val="00DD158E"/>
    <w:rsid w:val="00DD2E01"/>
    <w:rsid w:val="00DD349D"/>
    <w:rsid w:val="00DD3DB1"/>
    <w:rsid w:val="00DD3FFD"/>
    <w:rsid w:val="00DD49C5"/>
    <w:rsid w:val="00DD60EE"/>
    <w:rsid w:val="00DD7DF7"/>
    <w:rsid w:val="00DE04E7"/>
    <w:rsid w:val="00DE083C"/>
    <w:rsid w:val="00DE1264"/>
    <w:rsid w:val="00DE1D74"/>
    <w:rsid w:val="00DE3BCA"/>
    <w:rsid w:val="00DE488C"/>
    <w:rsid w:val="00DE5088"/>
    <w:rsid w:val="00DE5156"/>
    <w:rsid w:val="00DE53C5"/>
    <w:rsid w:val="00DE677E"/>
    <w:rsid w:val="00DE7668"/>
    <w:rsid w:val="00DE7F26"/>
    <w:rsid w:val="00DF1181"/>
    <w:rsid w:val="00DF24B7"/>
    <w:rsid w:val="00DF2FBB"/>
    <w:rsid w:val="00DF336D"/>
    <w:rsid w:val="00DF3690"/>
    <w:rsid w:val="00DF581C"/>
    <w:rsid w:val="00DF768A"/>
    <w:rsid w:val="00DF7BB8"/>
    <w:rsid w:val="00E00412"/>
    <w:rsid w:val="00E00D90"/>
    <w:rsid w:val="00E018F7"/>
    <w:rsid w:val="00E01A06"/>
    <w:rsid w:val="00E01D03"/>
    <w:rsid w:val="00E0217A"/>
    <w:rsid w:val="00E02C89"/>
    <w:rsid w:val="00E0456B"/>
    <w:rsid w:val="00E0498C"/>
    <w:rsid w:val="00E0540E"/>
    <w:rsid w:val="00E057F4"/>
    <w:rsid w:val="00E0643D"/>
    <w:rsid w:val="00E06BE6"/>
    <w:rsid w:val="00E070AB"/>
    <w:rsid w:val="00E07139"/>
    <w:rsid w:val="00E102D1"/>
    <w:rsid w:val="00E119F0"/>
    <w:rsid w:val="00E11A21"/>
    <w:rsid w:val="00E12293"/>
    <w:rsid w:val="00E129BC"/>
    <w:rsid w:val="00E1356C"/>
    <w:rsid w:val="00E13A37"/>
    <w:rsid w:val="00E1403C"/>
    <w:rsid w:val="00E1542E"/>
    <w:rsid w:val="00E15E5A"/>
    <w:rsid w:val="00E15F52"/>
    <w:rsid w:val="00E16334"/>
    <w:rsid w:val="00E167E1"/>
    <w:rsid w:val="00E16BE1"/>
    <w:rsid w:val="00E17E1F"/>
    <w:rsid w:val="00E21055"/>
    <w:rsid w:val="00E21426"/>
    <w:rsid w:val="00E2349A"/>
    <w:rsid w:val="00E27336"/>
    <w:rsid w:val="00E30A0A"/>
    <w:rsid w:val="00E32064"/>
    <w:rsid w:val="00E3209C"/>
    <w:rsid w:val="00E32A60"/>
    <w:rsid w:val="00E33E7A"/>
    <w:rsid w:val="00E351ED"/>
    <w:rsid w:val="00E35476"/>
    <w:rsid w:val="00E35E3A"/>
    <w:rsid w:val="00E36370"/>
    <w:rsid w:val="00E400CA"/>
    <w:rsid w:val="00E402FC"/>
    <w:rsid w:val="00E405C4"/>
    <w:rsid w:val="00E409AE"/>
    <w:rsid w:val="00E42D91"/>
    <w:rsid w:val="00E43647"/>
    <w:rsid w:val="00E439F2"/>
    <w:rsid w:val="00E44CCC"/>
    <w:rsid w:val="00E51BB8"/>
    <w:rsid w:val="00E52DB0"/>
    <w:rsid w:val="00E54502"/>
    <w:rsid w:val="00E54C29"/>
    <w:rsid w:val="00E5532D"/>
    <w:rsid w:val="00E5649B"/>
    <w:rsid w:val="00E56F73"/>
    <w:rsid w:val="00E57F51"/>
    <w:rsid w:val="00E6083A"/>
    <w:rsid w:val="00E60971"/>
    <w:rsid w:val="00E638C4"/>
    <w:rsid w:val="00E63928"/>
    <w:rsid w:val="00E63933"/>
    <w:rsid w:val="00E64339"/>
    <w:rsid w:val="00E647F6"/>
    <w:rsid w:val="00E67C2A"/>
    <w:rsid w:val="00E67F8B"/>
    <w:rsid w:val="00E706A5"/>
    <w:rsid w:val="00E72106"/>
    <w:rsid w:val="00E73862"/>
    <w:rsid w:val="00E7408E"/>
    <w:rsid w:val="00E7485A"/>
    <w:rsid w:val="00E74869"/>
    <w:rsid w:val="00E74984"/>
    <w:rsid w:val="00E75DA7"/>
    <w:rsid w:val="00E75FB6"/>
    <w:rsid w:val="00E76B81"/>
    <w:rsid w:val="00E771B6"/>
    <w:rsid w:val="00E81856"/>
    <w:rsid w:val="00E8205D"/>
    <w:rsid w:val="00E8289E"/>
    <w:rsid w:val="00E83055"/>
    <w:rsid w:val="00E8477F"/>
    <w:rsid w:val="00E86393"/>
    <w:rsid w:val="00E868CD"/>
    <w:rsid w:val="00E86E4D"/>
    <w:rsid w:val="00E87780"/>
    <w:rsid w:val="00E87DFD"/>
    <w:rsid w:val="00E903E9"/>
    <w:rsid w:val="00E90A5C"/>
    <w:rsid w:val="00E913A9"/>
    <w:rsid w:val="00E92106"/>
    <w:rsid w:val="00E93E0D"/>
    <w:rsid w:val="00E9427F"/>
    <w:rsid w:val="00E946E0"/>
    <w:rsid w:val="00E963E2"/>
    <w:rsid w:val="00E96FEC"/>
    <w:rsid w:val="00EA284C"/>
    <w:rsid w:val="00EA3CC6"/>
    <w:rsid w:val="00EA72BD"/>
    <w:rsid w:val="00EA7929"/>
    <w:rsid w:val="00EB09BF"/>
    <w:rsid w:val="00EB0CFB"/>
    <w:rsid w:val="00EB1385"/>
    <w:rsid w:val="00EB1CD5"/>
    <w:rsid w:val="00EB388E"/>
    <w:rsid w:val="00EB428D"/>
    <w:rsid w:val="00EB4747"/>
    <w:rsid w:val="00EB4CCB"/>
    <w:rsid w:val="00EB6DAF"/>
    <w:rsid w:val="00EC0705"/>
    <w:rsid w:val="00EC0F91"/>
    <w:rsid w:val="00EC10ED"/>
    <w:rsid w:val="00EC2C11"/>
    <w:rsid w:val="00EC41A9"/>
    <w:rsid w:val="00EC4D90"/>
    <w:rsid w:val="00EC5F68"/>
    <w:rsid w:val="00EC66B2"/>
    <w:rsid w:val="00EC670D"/>
    <w:rsid w:val="00EC6AA9"/>
    <w:rsid w:val="00EC764A"/>
    <w:rsid w:val="00ED0C8B"/>
    <w:rsid w:val="00ED16A7"/>
    <w:rsid w:val="00ED32B4"/>
    <w:rsid w:val="00ED33DC"/>
    <w:rsid w:val="00ED3DE3"/>
    <w:rsid w:val="00ED4312"/>
    <w:rsid w:val="00ED4F6B"/>
    <w:rsid w:val="00EE050C"/>
    <w:rsid w:val="00EE056B"/>
    <w:rsid w:val="00EE0D2A"/>
    <w:rsid w:val="00EE0E2E"/>
    <w:rsid w:val="00EE2649"/>
    <w:rsid w:val="00EE2EDB"/>
    <w:rsid w:val="00EE34C3"/>
    <w:rsid w:val="00EE3BC6"/>
    <w:rsid w:val="00EE41CE"/>
    <w:rsid w:val="00EE47D4"/>
    <w:rsid w:val="00EE4872"/>
    <w:rsid w:val="00EE6D14"/>
    <w:rsid w:val="00EE6D5C"/>
    <w:rsid w:val="00EF0904"/>
    <w:rsid w:val="00EF1236"/>
    <w:rsid w:val="00EF3785"/>
    <w:rsid w:val="00EF5F3C"/>
    <w:rsid w:val="00EF6CB3"/>
    <w:rsid w:val="00EF7410"/>
    <w:rsid w:val="00F013E3"/>
    <w:rsid w:val="00F017DB"/>
    <w:rsid w:val="00F01E1A"/>
    <w:rsid w:val="00F02850"/>
    <w:rsid w:val="00F0355F"/>
    <w:rsid w:val="00F03D52"/>
    <w:rsid w:val="00F04B60"/>
    <w:rsid w:val="00F056A1"/>
    <w:rsid w:val="00F06DB8"/>
    <w:rsid w:val="00F10C01"/>
    <w:rsid w:val="00F11F6E"/>
    <w:rsid w:val="00F126BB"/>
    <w:rsid w:val="00F142AB"/>
    <w:rsid w:val="00F1547B"/>
    <w:rsid w:val="00F16665"/>
    <w:rsid w:val="00F167A4"/>
    <w:rsid w:val="00F16916"/>
    <w:rsid w:val="00F16F97"/>
    <w:rsid w:val="00F179B6"/>
    <w:rsid w:val="00F17B8A"/>
    <w:rsid w:val="00F17CAF"/>
    <w:rsid w:val="00F17FFC"/>
    <w:rsid w:val="00F20A10"/>
    <w:rsid w:val="00F22AD2"/>
    <w:rsid w:val="00F23475"/>
    <w:rsid w:val="00F23EFB"/>
    <w:rsid w:val="00F25187"/>
    <w:rsid w:val="00F25366"/>
    <w:rsid w:val="00F25811"/>
    <w:rsid w:val="00F27F37"/>
    <w:rsid w:val="00F30E06"/>
    <w:rsid w:val="00F3377F"/>
    <w:rsid w:val="00F33F91"/>
    <w:rsid w:val="00F34BD3"/>
    <w:rsid w:val="00F351E1"/>
    <w:rsid w:val="00F35526"/>
    <w:rsid w:val="00F35E92"/>
    <w:rsid w:val="00F36200"/>
    <w:rsid w:val="00F37541"/>
    <w:rsid w:val="00F40709"/>
    <w:rsid w:val="00F41057"/>
    <w:rsid w:val="00F41F4B"/>
    <w:rsid w:val="00F42C5E"/>
    <w:rsid w:val="00F434B9"/>
    <w:rsid w:val="00F43714"/>
    <w:rsid w:val="00F43B41"/>
    <w:rsid w:val="00F469B6"/>
    <w:rsid w:val="00F50660"/>
    <w:rsid w:val="00F51667"/>
    <w:rsid w:val="00F52187"/>
    <w:rsid w:val="00F52491"/>
    <w:rsid w:val="00F525A1"/>
    <w:rsid w:val="00F52BAC"/>
    <w:rsid w:val="00F52CFD"/>
    <w:rsid w:val="00F5388F"/>
    <w:rsid w:val="00F53EE2"/>
    <w:rsid w:val="00F5448B"/>
    <w:rsid w:val="00F551C9"/>
    <w:rsid w:val="00F60ED1"/>
    <w:rsid w:val="00F636E7"/>
    <w:rsid w:val="00F63D26"/>
    <w:rsid w:val="00F645B4"/>
    <w:rsid w:val="00F64ED2"/>
    <w:rsid w:val="00F6794F"/>
    <w:rsid w:val="00F679DB"/>
    <w:rsid w:val="00F67E17"/>
    <w:rsid w:val="00F704BF"/>
    <w:rsid w:val="00F71058"/>
    <w:rsid w:val="00F7133C"/>
    <w:rsid w:val="00F71992"/>
    <w:rsid w:val="00F739A6"/>
    <w:rsid w:val="00F7487C"/>
    <w:rsid w:val="00F75D1A"/>
    <w:rsid w:val="00F77592"/>
    <w:rsid w:val="00F77EAE"/>
    <w:rsid w:val="00F81396"/>
    <w:rsid w:val="00F81482"/>
    <w:rsid w:val="00F819F6"/>
    <w:rsid w:val="00F82AE3"/>
    <w:rsid w:val="00F83F5E"/>
    <w:rsid w:val="00F84307"/>
    <w:rsid w:val="00F84424"/>
    <w:rsid w:val="00F85AF9"/>
    <w:rsid w:val="00F85E75"/>
    <w:rsid w:val="00F86513"/>
    <w:rsid w:val="00F87916"/>
    <w:rsid w:val="00F87F0A"/>
    <w:rsid w:val="00F90721"/>
    <w:rsid w:val="00F91D3A"/>
    <w:rsid w:val="00F94A5B"/>
    <w:rsid w:val="00F94E5D"/>
    <w:rsid w:val="00F95268"/>
    <w:rsid w:val="00F95AAC"/>
    <w:rsid w:val="00F95B4E"/>
    <w:rsid w:val="00F96829"/>
    <w:rsid w:val="00F978B1"/>
    <w:rsid w:val="00FA0785"/>
    <w:rsid w:val="00FA0A33"/>
    <w:rsid w:val="00FA0E18"/>
    <w:rsid w:val="00FA25E3"/>
    <w:rsid w:val="00FA2909"/>
    <w:rsid w:val="00FA2FBD"/>
    <w:rsid w:val="00FA31C3"/>
    <w:rsid w:val="00FA3323"/>
    <w:rsid w:val="00FA33CF"/>
    <w:rsid w:val="00FA5136"/>
    <w:rsid w:val="00FA7D0B"/>
    <w:rsid w:val="00FB1E02"/>
    <w:rsid w:val="00FB1E57"/>
    <w:rsid w:val="00FB2515"/>
    <w:rsid w:val="00FB347E"/>
    <w:rsid w:val="00FB6CD5"/>
    <w:rsid w:val="00FB7391"/>
    <w:rsid w:val="00FB74FC"/>
    <w:rsid w:val="00FC3023"/>
    <w:rsid w:val="00FC6A02"/>
    <w:rsid w:val="00FC6ED9"/>
    <w:rsid w:val="00FC7FEB"/>
    <w:rsid w:val="00FD0EB7"/>
    <w:rsid w:val="00FD1390"/>
    <w:rsid w:val="00FD27FA"/>
    <w:rsid w:val="00FD2C1C"/>
    <w:rsid w:val="00FD327E"/>
    <w:rsid w:val="00FD4544"/>
    <w:rsid w:val="00FD48DB"/>
    <w:rsid w:val="00FD5CDA"/>
    <w:rsid w:val="00FD6122"/>
    <w:rsid w:val="00FD70F6"/>
    <w:rsid w:val="00FE03A5"/>
    <w:rsid w:val="00FE1002"/>
    <w:rsid w:val="00FE1778"/>
    <w:rsid w:val="00FE3205"/>
    <w:rsid w:val="00FE367F"/>
    <w:rsid w:val="00FE5322"/>
    <w:rsid w:val="00FE5A06"/>
    <w:rsid w:val="00FE7FDF"/>
    <w:rsid w:val="00FF1849"/>
    <w:rsid w:val="00FF1CE4"/>
    <w:rsid w:val="00FF1D35"/>
    <w:rsid w:val="00FF2F27"/>
    <w:rsid w:val="00FF46CF"/>
    <w:rsid w:val="00FF59F5"/>
    <w:rsid w:val="00FF6F94"/>
    <w:rsid w:val="00FF7332"/>
    <w:rsid w:val="00FF73A0"/>
    <w:rsid w:val="0210D7BE"/>
    <w:rsid w:val="0288D60B"/>
    <w:rsid w:val="02B54F1F"/>
    <w:rsid w:val="0302314E"/>
    <w:rsid w:val="033E5FAA"/>
    <w:rsid w:val="03564FE2"/>
    <w:rsid w:val="038E6EE1"/>
    <w:rsid w:val="04984053"/>
    <w:rsid w:val="04F8148F"/>
    <w:rsid w:val="04FE4097"/>
    <w:rsid w:val="05062E1D"/>
    <w:rsid w:val="0540D0A0"/>
    <w:rsid w:val="05C763E8"/>
    <w:rsid w:val="06630EA6"/>
    <w:rsid w:val="076F34A0"/>
    <w:rsid w:val="081FC840"/>
    <w:rsid w:val="083DCEDF"/>
    <w:rsid w:val="0851996C"/>
    <w:rsid w:val="08A3DF18"/>
    <w:rsid w:val="08AAF898"/>
    <w:rsid w:val="091C7637"/>
    <w:rsid w:val="091D4D0A"/>
    <w:rsid w:val="0B49C351"/>
    <w:rsid w:val="0B52F0B7"/>
    <w:rsid w:val="0B5456C6"/>
    <w:rsid w:val="0B756FA1"/>
    <w:rsid w:val="0BB4B79F"/>
    <w:rsid w:val="0D114002"/>
    <w:rsid w:val="0D6CCD0C"/>
    <w:rsid w:val="0D8886B0"/>
    <w:rsid w:val="0DA49ABE"/>
    <w:rsid w:val="0DA72A97"/>
    <w:rsid w:val="0E002081"/>
    <w:rsid w:val="0EAD1063"/>
    <w:rsid w:val="0EB0C2D7"/>
    <w:rsid w:val="0EB4595B"/>
    <w:rsid w:val="10292E71"/>
    <w:rsid w:val="10A2BF65"/>
    <w:rsid w:val="1133391F"/>
    <w:rsid w:val="1177463A"/>
    <w:rsid w:val="11DCC39F"/>
    <w:rsid w:val="122BDA08"/>
    <w:rsid w:val="124FF8DF"/>
    <w:rsid w:val="12C7AD80"/>
    <w:rsid w:val="12DD47D6"/>
    <w:rsid w:val="1330D7D2"/>
    <w:rsid w:val="13380C98"/>
    <w:rsid w:val="13B84BCE"/>
    <w:rsid w:val="13C7BB86"/>
    <w:rsid w:val="13F1A79C"/>
    <w:rsid w:val="140145A7"/>
    <w:rsid w:val="146C56F3"/>
    <w:rsid w:val="1484475A"/>
    <w:rsid w:val="14AEE6FC"/>
    <w:rsid w:val="14B25C28"/>
    <w:rsid w:val="168DC3EB"/>
    <w:rsid w:val="16D08AF4"/>
    <w:rsid w:val="16F3C025"/>
    <w:rsid w:val="17AF461F"/>
    <w:rsid w:val="18229B56"/>
    <w:rsid w:val="1853F2A9"/>
    <w:rsid w:val="187853BF"/>
    <w:rsid w:val="187E924B"/>
    <w:rsid w:val="192C103E"/>
    <w:rsid w:val="198A9923"/>
    <w:rsid w:val="1A01C0B2"/>
    <w:rsid w:val="1A5E9AD3"/>
    <w:rsid w:val="1ACB0B86"/>
    <w:rsid w:val="1BD49FA3"/>
    <w:rsid w:val="1BDF22BB"/>
    <w:rsid w:val="1C98B091"/>
    <w:rsid w:val="1D8382E6"/>
    <w:rsid w:val="1DD4E6CB"/>
    <w:rsid w:val="1E7B3521"/>
    <w:rsid w:val="1E98D906"/>
    <w:rsid w:val="1F27A689"/>
    <w:rsid w:val="206AD470"/>
    <w:rsid w:val="2076EAD2"/>
    <w:rsid w:val="20BCE6BF"/>
    <w:rsid w:val="20C57FA4"/>
    <w:rsid w:val="20E1A6F6"/>
    <w:rsid w:val="2155464E"/>
    <w:rsid w:val="215551A8"/>
    <w:rsid w:val="2178FC1C"/>
    <w:rsid w:val="2270C0E6"/>
    <w:rsid w:val="22D50156"/>
    <w:rsid w:val="22E6AA5C"/>
    <w:rsid w:val="242E8C35"/>
    <w:rsid w:val="2447F83B"/>
    <w:rsid w:val="2454C308"/>
    <w:rsid w:val="24C942AC"/>
    <w:rsid w:val="24F8CE12"/>
    <w:rsid w:val="253275B1"/>
    <w:rsid w:val="259CDE0B"/>
    <w:rsid w:val="25BB84BE"/>
    <w:rsid w:val="26038C72"/>
    <w:rsid w:val="263150B6"/>
    <w:rsid w:val="263AB0D4"/>
    <w:rsid w:val="26F6FD7A"/>
    <w:rsid w:val="286A1673"/>
    <w:rsid w:val="28C03A2A"/>
    <w:rsid w:val="290BAF19"/>
    <w:rsid w:val="29A6B2FF"/>
    <w:rsid w:val="29FAF03F"/>
    <w:rsid w:val="2AE0816A"/>
    <w:rsid w:val="2AE3AA6D"/>
    <w:rsid w:val="2B3F1719"/>
    <w:rsid w:val="2B94C193"/>
    <w:rsid w:val="2BA1B735"/>
    <w:rsid w:val="2C0D5D1A"/>
    <w:rsid w:val="2C214C81"/>
    <w:rsid w:val="2C2CEA99"/>
    <w:rsid w:val="2CC7FCDF"/>
    <w:rsid w:val="2D014045"/>
    <w:rsid w:val="2D3AF890"/>
    <w:rsid w:val="2D5CA12C"/>
    <w:rsid w:val="2DA392FB"/>
    <w:rsid w:val="2E739261"/>
    <w:rsid w:val="2EADADE8"/>
    <w:rsid w:val="2F1D22C7"/>
    <w:rsid w:val="2FB3F28D"/>
    <w:rsid w:val="2FE31218"/>
    <w:rsid w:val="30438749"/>
    <w:rsid w:val="30F0025C"/>
    <w:rsid w:val="310E7184"/>
    <w:rsid w:val="3140DE33"/>
    <w:rsid w:val="32BB1225"/>
    <w:rsid w:val="337968E3"/>
    <w:rsid w:val="33B523B1"/>
    <w:rsid w:val="33D630C6"/>
    <w:rsid w:val="351A13C3"/>
    <w:rsid w:val="3542A208"/>
    <w:rsid w:val="35DE2D9F"/>
    <w:rsid w:val="35FFEA8A"/>
    <w:rsid w:val="366FC1F3"/>
    <w:rsid w:val="36A5783E"/>
    <w:rsid w:val="36DCAF27"/>
    <w:rsid w:val="370DD188"/>
    <w:rsid w:val="37CC4316"/>
    <w:rsid w:val="37FFB72E"/>
    <w:rsid w:val="38AD610F"/>
    <w:rsid w:val="38D0C9A3"/>
    <w:rsid w:val="392364FC"/>
    <w:rsid w:val="39A616CA"/>
    <w:rsid w:val="3B0AAA72"/>
    <w:rsid w:val="3BB482D5"/>
    <w:rsid w:val="3BE2ADB2"/>
    <w:rsid w:val="3C927595"/>
    <w:rsid w:val="3CAE07A3"/>
    <w:rsid w:val="3D6BDE09"/>
    <w:rsid w:val="3D80973E"/>
    <w:rsid w:val="3D969021"/>
    <w:rsid w:val="3E89EB7B"/>
    <w:rsid w:val="3EA151DC"/>
    <w:rsid w:val="3F082678"/>
    <w:rsid w:val="3F222B51"/>
    <w:rsid w:val="3F5ABFFB"/>
    <w:rsid w:val="3FBC21F6"/>
    <w:rsid w:val="41197681"/>
    <w:rsid w:val="4142354F"/>
    <w:rsid w:val="41AA3D29"/>
    <w:rsid w:val="422DB06E"/>
    <w:rsid w:val="4269385B"/>
    <w:rsid w:val="42A0AA69"/>
    <w:rsid w:val="42FF8274"/>
    <w:rsid w:val="4316F133"/>
    <w:rsid w:val="43220D4B"/>
    <w:rsid w:val="44766334"/>
    <w:rsid w:val="44EDE88A"/>
    <w:rsid w:val="45477E66"/>
    <w:rsid w:val="45DBFB51"/>
    <w:rsid w:val="4602D4E2"/>
    <w:rsid w:val="46A2C6CC"/>
    <w:rsid w:val="4769FAAE"/>
    <w:rsid w:val="49F4ED45"/>
    <w:rsid w:val="4A3D6EA2"/>
    <w:rsid w:val="4A5380B9"/>
    <w:rsid w:val="4A5D9565"/>
    <w:rsid w:val="4A9FF270"/>
    <w:rsid w:val="4AD0B986"/>
    <w:rsid w:val="4B7C5607"/>
    <w:rsid w:val="4BCBB0A0"/>
    <w:rsid w:val="4C671ECB"/>
    <w:rsid w:val="4C6FF156"/>
    <w:rsid w:val="4C7E403A"/>
    <w:rsid w:val="4DFE50B6"/>
    <w:rsid w:val="4EB0C9A2"/>
    <w:rsid w:val="4F0DA18B"/>
    <w:rsid w:val="4FF66420"/>
    <w:rsid w:val="51318AB7"/>
    <w:rsid w:val="51B90379"/>
    <w:rsid w:val="51D7991D"/>
    <w:rsid w:val="51E2E743"/>
    <w:rsid w:val="52C8D4C3"/>
    <w:rsid w:val="52DD2976"/>
    <w:rsid w:val="535BA903"/>
    <w:rsid w:val="53AFC6EA"/>
    <w:rsid w:val="53B1689B"/>
    <w:rsid w:val="542D6C53"/>
    <w:rsid w:val="5464A524"/>
    <w:rsid w:val="55694D70"/>
    <w:rsid w:val="55BD3E6A"/>
    <w:rsid w:val="56D2BCC2"/>
    <w:rsid w:val="5733992D"/>
    <w:rsid w:val="576CB045"/>
    <w:rsid w:val="57AFE0CC"/>
    <w:rsid w:val="58A3E927"/>
    <w:rsid w:val="58CA0188"/>
    <w:rsid w:val="5910E3E9"/>
    <w:rsid w:val="5927345D"/>
    <w:rsid w:val="5AA87EEC"/>
    <w:rsid w:val="5AE6F0AD"/>
    <w:rsid w:val="5B07010E"/>
    <w:rsid w:val="5B11B1F1"/>
    <w:rsid w:val="5B43B9B6"/>
    <w:rsid w:val="5BBDB303"/>
    <w:rsid w:val="5BEC4C87"/>
    <w:rsid w:val="5C444F4D"/>
    <w:rsid w:val="5CC18790"/>
    <w:rsid w:val="5DA9F4D2"/>
    <w:rsid w:val="5E054528"/>
    <w:rsid w:val="5E1BA428"/>
    <w:rsid w:val="5E8BE2BC"/>
    <w:rsid w:val="5ECFAABB"/>
    <w:rsid w:val="5FA28421"/>
    <w:rsid w:val="5FFD4893"/>
    <w:rsid w:val="60459A05"/>
    <w:rsid w:val="6046EF3B"/>
    <w:rsid w:val="60C4376F"/>
    <w:rsid w:val="6125582E"/>
    <w:rsid w:val="61EAA2CB"/>
    <w:rsid w:val="6301D147"/>
    <w:rsid w:val="63F7815C"/>
    <w:rsid w:val="645316D2"/>
    <w:rsid w:val="64D1945B"/>
    <w:rsid w:val="6566615F"/>
    <w:rsid w:val="65A31309"/>
    <w:rsid w:val="66C10CF6"/>
    <w:rsid w:val="672B4985"/>
    <w:rsid w:val="6748278B"/>
    <w:rsid w:val="677B881E"/>
    <w:rsid w:val="67D248FC"/>
    <w:rsid w:val="67EBDCFF"/>
    <w:rsid w:val="6807EBEC"/>
    <w:rsid w:val="68521848"/>
    <w:rsid w:val="68CAE02C"/>
    <w:rsid w:val="68F6CE3A"/>
    <w:rsid w:val="6957B695"/>
    <w:rsid w:val="6A46D201"/>
    <w:rsid w:val="6B110E38"/>
    <w:rsid w:val="6BB7B7B0"/>
    <w:rsid w:val="6BDFEBF1"/>
    <w:rsid w:val="6D02BF79"/>
    <w:rsid w:val="6D624F96"/>
    <w:rsid w:val="6DB77AC6"/>
    <w:rsid w:val="6E418E6E"/>
    <w:rsid w:val="6EA00ABF"/>
    <w:rsid w:val="6F4A46B2"/>
    <w:rsid w:val="6FE3A690"/>
    <w:rsid w:val="700E16DE"/>
    <w:rsid w:val="7042F28B"/>
    <w:rsid w:val="714F90A4"/>
    <w:rsid w:val="7183ED67"/>
    <w:rsid w:val="71B79F49"/>
    <w:rsid w:val="71F150E1"/>
    <w:rsid w:val="7285B713"/>
    <w:rsid w:val="7342D15E"/>
    <w:rsid w:val="73A86162"/>
    <w:rsid w:val="747429E7"/>
    <w:rsid w:val="74B5C1EF"/>
    <w:rsid w:val="74D52CA8"/>
    <w:rsid w:val="74F9F0C9"/>
    <w:rsid w:val="75312368"/>
    <w:rsid w:val="75525EF1"/>
    <w:rsid w:val="75ED1A96"/>
    <w:rsid w:val="76DFA593"/>
    <w:rsid w:val="77ED9959"/>
    <w:rsid w:val="7877C054"/>
    <w:rsid w:val="789B21D8"/>
    <w:rsid w:val="79192A0C"/>
    <w:rsid w:val="79238362"/>
    <w:rsid w:val="793C007F"/>
    <w:rsid w:val="7971CF01"/>
    <w:rsid w:val="797B8F71"/>
    <w:rsid w:val="79CA61B7"/>
    <w:rsid w:val="7B13AF29"/>
    <w:rsid w:val="7B575E50"/>
    <w:rsid w:val="7C5B2424"/>
    <w:rsid w:val="7C994024"/>
    <w:rsid w:val="7CB6AB09"/>
    <w:rsid w:val="7D12B276"/>
    <w:rsid w:val="7DBAB042"/>
    <w:rsid w:val="7E341E5D"/>
    <w:rsid w:val="7E39ECBB"/>
    <w:rsid w:val="7E8BF3FE"/>
    <w:rsid w:val="7E8EFF12"/>
    <w:rsid w:val="7FEA0A0C"/>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0AAA5D"/>
  <w15:chartTrackingRefBased/>
  <w15:docId w15:val="{A6C2ACDF-2661-4331-AAF2-11BDE5048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7D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3D26"/>
    <w:pPr>
      <w:tabs>
        <w:tab w:val="center" w:pos="4819"/>
        <w:tab w:val="right" w:pos="9638"/>
      </w:tabs>
    </w:pPr>
  </w:style>
  <w:style w:type="character" w:customStyle="1" w:styleId="HeaderChar">
    <w:name w:val="Header Char"/>
    <w:basedOn w:val="DefaultParagraphFont"/>
    <w:link w:val="Header"/>
    <w:uiPriority w:val="99"/>
    <w:rsid w:val="00F63D26"/>
  </w:style>
  <w:style w:type="paragraph" w:styleId="Footer">
    <w:name w:val="footer"/>
    <w:basedOn w:val="Normal"/>
    <w:link w:val="FooterChar"/>
    <w:uiPriority w:val="99"/>
    <w:unhideWhenUsed/>
    <w:rsid w:val="00F63D26"/>
    <w:pPr>
      <w:tabs>
        <w:tab w:val="center" w:pos="4819"/>
        <w:tab w:val="right" w:pos="9638"/>
      </w:tabs>
    </w:pPr>
  </w:style>
  <w:style w:type="character" w:customStyle="1" w:styleId="FooterChar">
    <w:name w:val="Footer Char"/>
    <w:basedOn w:val="DefaultParagraphFont"/>
    <w:link w:val="Footer"/>
    <w:uiPriority w:val="99"/>
    <w:rsid w:val="00F63D26"/>
  </w:style>
  <w:style w:type="character" w:styleId="Emphasis">
    <w:name w:val="Emphasis"/>
    <w:basedOn w:val="DefaultParagraphFont"/>
    <w:uiPriority w:val="20"/>
    <w:qFormat/>
    <w:rsid w:val="00F63D26"/>
    <w:rPr>
      <w:i/>
      <w:iCs/>
    </w:rPr>
  </w:style>
  <w:style w:type="character" w:customStyle="1" w:styleId="apple-converted-space">
    <w:name w:val="apple-converted-space"/>
    <w:basedOn w:val="DefaultParagraphFont"/>
    <w:rsid w:val="00F63D26"/>
  </w:style>
  <w:style w:type="paragraph" w:styleId="ListParagraph">
    <w:name w:val="List Paragraph"/>
    <w:aliases w:val="List not in Table,Numbering,ERP-List Paragraph,List Paragraph1,List Paragraph11,Bullet EY,List Paragraph2,Paragraph,List Paragraph Red,Heading 10,Sąrašo pastraipa1"/>
    <w:basedOn w:val="Normal"/>
    <w:link w:val="ListParagraphChar"/>
    <w:uiPriority w:val="34"/>
    <w:qFormat/>
    <w:rsid w:val="00D30BF3"/>
    <w:pPr>
      <w:ind w:left="720"/>
      <w:contextualSpacing/>
    </w:pPr>
  </w:style>
  <w:style w:type="character" w:styleId="Hyperlink">
    <w:name w:val="Hyperlink"/>
    <w:basedOn w:val="DefaultParagraphFont"/>
    <w:uiPriority w:val="99"/>
    <w:unhideWhenUsed/>
    <w:rsid w:val="00EB1CD5"/>
    <w:rPr>
      <w:color w:val="0000FF"/>
      <w:u w:val="single"/>
    </w:rPr>
  </w:style>
  <w:style w:type="paragraph" w:styleId="NormalWeb">
    <w:name w:val="Normal (Web)"/>
    <w:basedOn w:val="Normal"/>
    <w:uiPriority w:val="99"/>
    <w:unhideWhenUsed/>
    <w:rsid w:val="000C5775"/>
    <w:pPr>
      <w:spacing w:before="100" w:beforeAutospacing="1" w:after="100" w:afterAutospacing="1"/>
    </w:pPr>
    <w:rPr>
      <w:rFonts w:ascii="Times New Roman" w:eastAsia="Times New Roman" w:hAnsi="Times New Roman" w:cs="Times New Roman"/>
      <w:sz w:val="24"/>
      <w:szCs w:val="24"/>
      <w:lang w:eastAsia="lt-LT"/>
    </w:rPr>
  </w:style>
  <w:style w:type="paragraph" w:styleId="BalloonText">
    <w:name w:val="Balloon Text"/>
    <w:basedOn w:val="Normal"/>
    <w:link w:val="BalloonTextChar"/>
    <w:uiPriority w:val="99"/>
    <w:semiHidden/>
    <w:unhideWhenUsed/>
    <w:rsid w:val="00CE5C7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5C79"/>
    <w:rPr>
      <w:rFonts w:ascii="Segoe UI" w:hAnsi="Segoe UI" w:cs="Segoe UI"/>
      <w:sz w:val="18"/>
      <w:szCs w:val="18"/>
    </w:rPr>
  </w:style>
  <w:style w:type="paragraph" w:styleId="NoSpacing">
    <w:name w:val="No Spacing"/>
    <w:uiPriority w:val="1"/>
    <w:qFormat/>
    <w:rsid w:val="00E119F0"/>
    <w:pPr>
      <w:spacing w:after="0" w:line="240" w:lineRule="auto"/>
    </w:pPr>
  </w:style>
  <w:style w:type="character" w:customStyle="1" w:styleId="Mention1">
    <w:name w:val="Mention1"/>
    <w:basedOn w:val="DefaultParagraphFont"/>
    <w:uiPriority w:val="99"/>
    <w:semiHidden/>
    <w:unhideWhenUsed/>
    <w:rsid w:val="00993A01"/>
    <w:rPr>
      <w:color w:val="2B579A"/>
      <w:shd w:val="clear" w:color="auto" w:fill="E6E6E6"/>
    </w:rPr>
  </w:style>
  <w:style w:type="character" w:styleId="CommentReference">
    <w:name w:val="annotation reference"/>
    <w:basedOn w:val="DefaultParagraphFont"/>
    <w:uiPriority w:val="99"/>
    <w:unhideWhenUsed/>
    <w:rsid w:val="00296075"/>
    <w:rPr>
      <w:sz w:val="16"/>
      <w:szCs w:val="16"/>
    </w:rPr>
  </w:style>
  <w:style w:type="paragraph" w:styleId="CommentText">
    <w:name w:val="annotation text"/>
    <w:basedOn w:val="Normal"/>
    <w:link w:val="CommentTextChar"/>
    <w:uiPriority w:val="99"/>
    <w:unhideWhenUsed/>
    <w:rsid w:val="00296075"/>
    <w:rPr>
      <w:sz w:val="20"/>
      <w:szCs w:val="20"/>
    </w:rPr>
  </w:style>
  <w:style w:type="character" w:customStyle="1" w:styleId="CommentTextChar">
    <w:name w:val="Comment Text Char"/>
    <w:basedOn w:val="DefaultParagraphFont"/>
    <w:link w:val="CommentText"/>
    <w:uiPriority w:val="99"/>
    <w:rsid w:val="00296075"/>
    <w:rPr>
      <w:sz w:val="20"/>
      <w:szCs w:val="20"/>
    </w:rPr>
  </w:style>
  <w:style w:type="paragraph" w:styleId="CommentSubject">
    <w:name w:val="annotation subject"/>
    <w:basedOn w:val="CommentText"/>
    <w:next w:val="CommentText"/>
    <w:link w:val="CommentSubjectChar"/>
    <w:uiPriority w:val="99"/>
    <w:semiHidden/>
    <w:unhideWhenUsed/>
    <w:rsid w:val="00296075"/>
    <w:rPr>
      <w:b/>
      <w:bCs/>
    </w:rPr>
  </w:style>
  <w:style w:type="character" w:customStyle="1" w:styleId="CommentSubjectChar">
    <w:name w:val="Comment Subject Char"/>
    <w:basedOn w:val="CommentTextChar"/>
    <w:link w:val="CommentSubject"/>
    <w:uiPriority w:val="99"/>
    <w:semiHidden/>
    <w:rsid w:val="00296075"/>
    <w:rPr>
      <w:b/>
      <w:bCs/>
      <w:sz w:val="20"/>
      <w:szCs w:val="20"/>
    </w:rPr>
  </w:style>
  <w:style w:type="paragraph" w:styleId="Revision">
    <w:name w:val="Revision"/>
    <w:hidden/>
    <w:uiPriority w:val="99"/>
    <w:semiHidden/>
    <w:rsid w:val="0011769C"/>
    <w:pPr>
      <w:spacing w:after="0" w:line="240" w:lineRule="auto"/>
    </w:pPr>
  </w:style>
  <w:style w:type="table" w:styleId="TableGrid">
    <w:name w:val="Table Grid"/>
    <w:basedOn w:val="TableNormal"/>
    <w:uiPriority w:val="39"/>
    <w:rsid w:val="00F713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not in Table Char,Numbering Char,ERP-List Paragraph Char,List Paragraph1 Char,List Paragraph11 Char,Bullet EY Char,List Paragraph2 Char,Paragraph Char,List Paragraph Red Char,Heading 10 Char,Sąrašo pastraipa1 Char"/>
    <w:basedOn w:val="DefaultParagraphFont"/>
    <w:link w:val="ListParagraph"/>
    <w:uiPriority w:val="34"/>
    <w:rsid w:val="00F7133C"/>
  </w:style>
  <w:style w:type="character" w:customStyle="1" w:styleId="normaltextrun">
    <w:name w:val="normaltextrun"/>
    <w:basedOn w:val="DefaultParagraphFont"/>
    <w:rsid w:val="004F688E"/>
  </w:style>
  <w:style w:type="character" w:customStyle="1" w:styleId="eop">
    <w:name w:val="eop"/>
    <w:basedOn w:val="DefaultParagraphFont"/>
    <w:rsid w:val="004F688E"/>
  </w:style>
  <w:style w:type="character" w:styleId="FollowedHyperlink">
    <w:name w:val="FollowedHyperlink"/>
    <w:basedOn w:val="DefaultParagraphFont"/>
    <w:uiPriority w:val="99"/>
    <w:semiHidden/>
    <w:unhideWhenUsed/>
    <w:rsid w:val="00036F2A"/>
    <w:rPr>
      <w:color w:val="954F72" w:themeColor="followedHyperlink"/>
      <w:u w:val="single"/>
    </w:rPr>
  </w:style>
  <w:style w:type="character" w:styleId="UnresolvedMention">
    <w:name w:val="Unresolved Mention"/>
    <w:basedOn w:val="DefaultParagraphFont"/>
    <w:uiPriority w:val="99"/>
    <w:semiHidden/>
    <w:unhideWhenUsed/>
    <w:rsid w:val="00FE5322"/>
    <w:rPr>
      <w:color w:val="605E5C"/>
      <w:shd w:val="clear" w:color="auto" w:fill="E1DFDD"/>
    </w:rPr>
  </w:style>
  <w:style w:type="character" w:styleId="PageNumber">
    <w:name w:val="page number"/>
    <w:basedOn w:val="DefaultParagraphFont"/>
    <w:uiPriority w:val="99"/>
    <w:semiHidden/>
    <w:unhideWhenUsed/>
    <w:rsid w:val="00CE23E0"/>
  </w:style>
  <w:style w:type="paragraph" w:customStyle="1" w:styleId="xmsonormal">
    <w:name w:val="x_msonormal"/>
    <w:basedOn w:val="Normal"/>
    <w:rsid w:val="006003FB"/>
    <w:rPr>
      <w:lang w:eastAsia="lt-LT"/>
    </w:rPr>
  </w:style>
  <w:style w:type="character" w:styleId="Strong">
    <w:name w:val="Strong"/>
    <w:basedOn w:val="DefaultParagraphFont"/>
    <w:uiPriority w:val="22"/>
    <w:qFormat/>
    <w:rsid w:val="001F1079"/>
    <w:rPr>
      <w:b/>
      <w:bCs/>
    </w:rPr>
  </w:style>
  <w:style w:type="paragraph" w:styleId="FootnoteText">
    <w:name w:val="footnote text"/>
    <w:basedOn w:val="Normal"/>
    <w:link w:val="FootnoteTextChar"/>
    <w:uiPriority w:val="99"/>
    <w:semiHidden/>
    <w:unhideWhenUsed/>
    <w:rsid w:val="00F41057"/>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F41057"/>
    <w:rPr>
      <w:sz w:val="20"/>
      <w:szCs w:val="20"/>
    </w:rPr>
  </w:style>
  <w:style w:type="character" w:styleId="FootnoteReference">
    <w:name w:val="footnote reference"/>
    <w:basedOn w:val="DefaultParagraphFont"/>
    <w:uiPriority w:val="99"/>
    <w:semiHidden/>
    <w:unhideWhenUsed/>
    <w:rsid w:val="00F41057"/>
    <w:rPr>
      <w:vertAlign w:val="superscript"/>
    </w:rPr>
  </w:style>
  <w:style w:type="table" w:customStyle="1" w:styleId="TableGrid1">
    <w:name w:val="Table Grid1"/>
    <w:basedOn w:val="TableNormal"/>
    <w:next w:val="TableGrid"/>
    <w:uiPriority w:val="59"/>
    <w:rsid w:val="00DA1638"/>
    <w:pPr>
      <w:spacing w:after="0" w:line="240" w:lineRule="auto"/>
    </w:pPr>
    <w:rPr>
      <w:rFonts w:ascii="Tahoma" w:eastAsia="MS Mincho" w:hAnsi="Tahoma"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E637B"/>
    <w:pPr>
      <w:autoSpaceDE w:val="0"/>
      <w:autoSpaceDN w:val="0"/>
      <w:adjustRightInd w:val="0"/>
      <w:spacing w:after="0" w:line="240" w:lineRule="auto"/>
    </w:pPr>
    <w:rPr>
      <w:rFonts w:ascii="Arial" w:hAnsi="Arial" w:cs="Arial"/>
      <w:color w:val="000000"/>
      <w:sz w:val="24"/>
      <w:szCs w:val="24"/>
    </w:rPr>
  </w:style>
  <w:style w:type="character" w:customStyle="1" w:styleId="cf01">
    <w:name w:val="cf01"/>
    <w:basedOn w:val="DefaultParagraphFont"/>
    <w:rsid w:val="003740BA"/>
    <w:rPr>
      <w:rFonts w:ascii="Segoe UI" w:hAnsi="Segoe UI" w:cs="Segoe UI" w:hint="default"/>
      <w:sz w:val="18"/>
      <w:szCs w:val="18"/>
    </w:rPr>
  </w:style>
  <w:style w:type="character" w:styleId="Mention">
    <w:name w:val="Mention"/>
    <w:basedOn w:val="DefaultParagraphFont"/>
    <w:uiPriority w:val="99"/>
    <w:unhideWhenUsed/>
    <w:rsid w:val="004358DF"/>
    <w:rPr>
      <w:color w:val="2B579A"/>
      <w:shd w:val="clear" w:color="auto" w:fill="E1DFDD"/>
    </w:rPr>
  </w:style>
  <w:style w:type="character" w:customStyle="1" w:styleId="ui-provider">
    <w:name w:val="ui-provider"/>
    <w:basedOn w:val="DefaultParagraphFont"/>
    <w:rsid w:val="001224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639100">
      <w:bodyDiv w:val="1"/>
      <w:marLeft w:val="0"/>
      <w:marRight w:val="0"/>
      <w:marTop w:val="0"/>
      <w:marBottom w:val="0"/>
      <w:divBdr>
        <w:top w:val="none" w:sz="0" w:space="0" w:color="auto"/>
        <w:left w:val="none" w:sz="0" w:space="0" w:color="auto"/>
        <w:bottom w:val="none" w:sz="0" w:space="0" w:color="auto"/>
        <w:right w:val="none" w:sz="0" w:space="0" w:color="auto"/>
      </w:divBdr>
    </w:div>
    <w:div w:id="198127815">
      <w:bodyDiv w:val="1"/>
      <w:marLeft w:val="0"/>
      <w:marRight w:val="0"/>
      <w:marTop w:val="0"/>
      <w:marBottom w:val="0"/>
      <w:divBdr>
        <w:top w:val="none" w:sz="0" w:space="0" w:color="auto"/>
        <w:left w:val="none" w:sz="0" w:space="0" w:color="auto"/>
        <w:bottom w:val="none" w:sz="0" w:space="0" w:color="auto"/>
        <w:right w:val="none" w:sz="0" w:space="0" w:color="auto"/>
      </w:divBdr>
    </w:div>
    <w:div w:id="247888365">
      <w:bodyDiv w:val="1"/>
      <w:marLeft w:val="0"/>
      <w:marRight w:val="0"/>
      <w:marTop w:val="0"/>
      <w:marBottom w:val="0"/>
      <w:divBdr>
        <w:top w:val="none" w:sz="0" w:space="0" w:color="auto"/>
        <w:left w:val="none" w:sz="0" w:space="0" w:color="auto"/>
        <w:bottom w:val="none" w:sz="0" w:space="0" w:color="auto"/>
        <w:right w:val="none" w:sz="0" w:space="0" w:color="auto"/>
      </w:divBdr>
    </w:div>
    <w:div w:id="257715618">
      <w:bodyDiv w:val="1"/>
      <w:marLeft w:val="0"/>
      <w:marRight w:val="0"/>
      <w:marTop w:val="0"/>
      <w:marBottom w:val="0"/>
      <w:divBdr>
        <w:top w:val="none" w:sz="0" w:space="0" w:color="auto"/>
        <w:left w:val="none" w:sz="0" w:space="0" w:color="auto"/>
        <w:bottom w:val="none" w:sz="0" w:space="0" w:color="auto"/>
        <w:right w:val="none" w:sz="0" w:space="0" w:color="auto"/>
      </w:divBdr>
    </w:div>
    <w:div w:id="421337425">
      <w:bodyDiv w:val="1"/>
      <w:marLeft w:val="0"/>
      <w:marRight w:val="0"/>
      <w:marTop w:val="0"/>
      <w:marBottom w:val="0"/>
      <w:divBdr>
        <w:top w:val="none" w:sz="0" w:space="0" w:color="auto"/>
        <w:left w:val="none" w:sz="0" w:space="0" w:color="auto"/>
        <w:bottom w:val="none" w:sz="0" w:space="0" w:color="auto"/>
        <w:right w:val="none" w:sz="0" w:space="0" w:color="auto"/>
      </w:divBdr>
    </w:div>
    <w:div w:id="480804399">
      <w:bodyDiv w:val="1"/>
      <w:marLeft w:val="0"/>
      <w:marRight w:val="0"/>
      <w:marTop w:val="0"/>
      <w:marBottom w:val="0"/>
      <w:divBdr>
        <w:top w:val="none" w:sz="0" w:space="0" w:color="auto"/>
        <w:left w:val="none" w:sz="0" w:space="0" w:color="auto"/>
        <w:bottom w:val="none" w:sz="0" w:space="0" w:color="auto"/>
        <w:right w:val="none" w:sz="0" w:space="0" w:color="auto"/>
      </w:divBdr>
    </w:div>
    <w:div w:id="546719971">
      <w:bodyDiv w:val="1"/>
      <w:marLeft w:val="0"/>
      <w:marRight w:val="0"/>
      <w:marTop w:val="0"/>
      <w:marBottom w:val="0"/>
      <w:divBdr>
        <w:top w:val="none" w:sz="0" w:space="0" w:color="auto"/>
        <w:left w:val="none" w:sz="0" w:space="0" w:color="auto"/>
        <w:bottom w:val="none" w:sz="0" w:space="0" w:color="auto"/>
        <w:right w:val="none" w:sz="0" w:space="0" w:color="auto"/>
      </w:divBdr>
    </w:div>
    <w:div w:id="581178362">
      <w:bodyDiv w:val="1"/>
      <w:marLeft w:val="0"/>
      <w:marRight w:val="0"/>
      <w:marTop w:val="0"/>
      <w:marBottom w:val="0"/>
      <w:divBdr>
        <w:top w:val="none" w:sz="0" w:space="0" w:color="auto"/>
        <w:left w:val="none" w:sz="0" w:space="0" w:color="auto"/>
        <w:bottom w:val="none" w:sz="0" w:space="0" w:color="auto"/>
        <w:right w:val="none" w:sz="0" w:space="0" w:color="auto"/>
      </w:divBdr>
    </w:div>
    <w:div w:id="628784234">
      <w:bodyDiv w:val="1"/>
      <w:marLeft w:val="0"/>
      <w:marRight w:val="0"/>
      <w:marTop w:val="0"/>
      <w:marBottom w:val="0"/>
      <w:divBdr>
        <w:top w:val="none" w:sz="0" w:space="0" w:color="auto"/>
        <w:left w:val="none" w:sz="0" w:space="0" w:color="auto"/>
        <w:bottom w:val="none" w:sz="0" w:space="0" w:color="auto"/>
        <w:right w:val="none" w:sz="0" w:space="0" w:color="auto"/>
      </w:divBdr>
    </w:div>
    <w:div w:id="685905359">
      <w:bodyDiv w:val="1"/>
      <w:marLeft w:val="0"/>
      <w:marRight w:val="0"/>
      <w:marTop w:val="0"/>
      <w:marBottom w:val="0"/>
      <w:divBdr>
        <w:top w:val="none" w:sz="0" w:space="0" w:color="auto"/>
        <w:left w:val="none" w:sz="0" w:space="0" w:color="auto"/>
        <w:bottom w:val="none" w:sz="0" w:space="0" w:color="auto"/>
        <w:right w:val="none" w:sz="0" w:space="0" w:color="auto"/>
      </w:divBdr>
    </w:div>
    <w:div w:id="741803151">
      <w:bodyDiv w:val="1"/>
      <w:marLeft w:val="0"/>
      <w:marRight w:val="0"/>
      <w:marTop w:val="0"/>
      <w:marBottom w:val="0"/>
      <w:divBdr>
        <w:top w:val="none" w:sz="0" w:space="0" w:color="auto"/>
        <w:left w:val="none" w:sz="0" w:space="0" w:color="auto"/>
        <w:bottom w:val="none" w:sz="0" w:space="0" w:color="auto"/>
        <w:right w:val="none" w:sz="0" w:space="0" w:color="auto"/>
      </w:divBdr>
    </w:div>
    <w:div w:id="741876661">
      <w:bodyDiv w:val="1"/>
      <w:marLeft w:val="0"/>
      <w:marRight w:val="0"/>
      <w:marTop w:val="0"/>
      <w:marBottom w:val="0"/>
      <w:divBdr>
        <w:top w:val="none" w:sz="0" w:space="0" w:color="auto"/>
        <w:left w:val="none" w:sz="0" w:space="0" w:color="auto"/>
        <w:bottom w:val="none" w:sz="0" w:space="0" w:color="auto"/>
        <w:right w:val="none" w:sz="0" w:space="0" w:color="auto"/>
      </w:divBdr>
      <w:divsChild>
        <w:div w:id="497115740">
          <w:marLeft w:val="0"/>
          <w:marRight w:val="0"/>
          <w:marTop w:val="0"/>
          <w:marBottom w:val="0"/>
          <w:divBdr>
            <w:top w:val="none" w:sz="0" w:space="0" w:color="auto"/>
            <w:left w:val="none" w:sz="0" w:space="0" w:color="auto"/>
            <w:bottom w:val="none" w:sz="0" w:space="0" w:color="auto"/>
            <w:right w:val="none" w:sz="0" w:space="0" w:color="auto"/>
          </w:divBdr>
          <w:divsChild>
            <w:div w:id="539712592">
              <w:marLeft w:val="0"/>
              <w:marRight w:val="0"/>
              <w:marTop w:val="0"/>
              <w:marBottom w:val="0"/>
              <w:divBdr>
                <w:top w:val="none" w:sz="0" w:space="0" w:color="auto"/>
                <w:left w:val="none" w:sz="0" w:space="0" w:color="auto"/>
                <w:bottom w:val="none" w:sz="0" w:space="0" w:color="auto"/>
                <w:right w:val="none" w:sz="0" w:space="0" w:color="auto"/>
              </w:divBdr>
            </w:div>
            <w:div w:id="1264730951">
              <w:marLeft w:val="0"/>
              <w:marRight w:val="0"/>
              <w:marTop w:val="0"/>
              <w:marBottom w:val="0"/>
              <w:divBdr>
                <w:top w:val="none" w:sz="0" w:space="0" w:color="auto"/>
                <w:left w:val="none" w:sz="0" w:space="0" w:color="auto"/>
                <w:bottom w:val="none" w:sz="0" w:space="0" w:color="auto"/>
                <w:right w:val="none" w:sz="0" w:space="0" w:color="auto"/>
              </w:divBdr>
              <w:divsChild>
                <w:div w:id="405882260">
                  <w:marLeft w:val="0"/>
                  <w:marRight w:val="0"/>
                  <w:marTop w:val="0"/>
                  <w:marBottom w:val="0"/>
                  <w:divBdr>
                    <w:top w:val="none" w:sz="0" w:space="0" w:color="auto"/>
                    <w:left w:val="none" w:sz="0" w:space="0" w:color="auto"/>
                    <w:bottom w:val="none" w:sz="0" w:space="0" w:color="auto"/>
                    <w:right w:val="none" w:sz="0" w:space="0" w:color="auto"/>
                  </w:divBdr>
                  <w:divsChild>
                    <w:div w:id="24846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440809">
              <w:marLeft w:val="0"/>
              <w:marRight w:val="0"/>
              <w:marTop w:val="0"/>
              <w:marBottom w:val="0"/>
              <w:divBdr>
                <w:top w:val="none" w:sz="0" w:space="0" w:color="auto"/>
                <w:left w:val="none" w:sz="0" w:space="0" w:color="auto"/>
                <w:bottom w:val="none" w:sz="0" w:space="0" w:color="auto"/>
                <w:right w:val="none" w:sz="0" w:space="0" w:color="auto"/>
              </w:divBdr>
              <w:divsChild>
                <w:div w:id="17211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680659">
          <w:marLeft w:val="0"/>
          <w:marRight w:val="0"/>
          <w:marTop w:val="0"/>
          <w:marBottom w:val="0"/>
          <w:divBdr>
            <w:top w:val="none" w:sz="0" w:space="0" w:color="auto"/>
            <w:left w:val="none" w:sz="0" w:space="0" w:color="auto"/>
            <w:bottom w:val="none" w:sz="0" w:space="0" w:color="auto"/>
            <w:right w:val="none" w:sz="0" w:space="0" w:color="auto"/>
          </w:divBdr>
          <w:divsChild>
            <w:div w:id="1817066077">
              <w:marLeft w:val="0"/>
              <w:marRight w:val="0"/>
              <w:marTop w:val="0"/>
              <w:marBottom w:val="0"/>
              <w:divBdr>
                <w:top w:val="none" w:sz="0" w:space="0" w:color="auto"/>
                <w:left w:val="none" w:sz="0" w:space="0" w:color="auto"/>
                <w:bottom w:val="none" w:sz="0" w:space="0" w:color="auto"/>
                <w:right w:val="none" w:sz="0" w:space="0" w:color="auto"/>
              </w:divBdr>
              <w:divsChild>
                <w:div w:id="283662832">
                  <w:marLeft w:val="0"/>
                  <w:marRight w:val="0"/>
                  <w:marTop w:val="0"/>
                  <w:marBottom w:val="0"/>
                  <w:divBdr>
                    <w:top w:val="none" w:sz="0" w:space="0" w:color="auto"/>
                    <w:left w:val="none" w:sz="0" w:space="0" w:color="auto"/>
                    <w:bottom w:val="none" w:sz="0" w:space="0" w:color="auto"/>
                    <w:right w:val="none" w:sz="0" w:space="0" w:color="auto"/>
                  </w:divBdr>
                  <w:divsChild>
                    <w:div w:id="208104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4362397">
      <w:bodyDiv w:val="1"/>
      <w:marLeft w:val="0"/>
      <w:marRight w:val="0"/>
      <w:marTop w:val="0"/>
      <w:marBottom w:val="0"/>
      <w:divBdr>
        <w:top w:val="none" w:sz="0" w:space="0" w:color="auto"/>
        <w:left w:val="none" w:sz="0" w:space="0" w:color="auto"/>
        <w:bottom w:val="none" w:sz="0" w:space="0" w:color="auto"/>
        <w:right w:val="none" w:sz="0" w:space="0" w:color="auto"/>
      </w:divBdr>
    </w:div>
    <w:div w:id="927154679">
      <w:bodyDiv w:val="1"/>
      <w:marLeft w:val="0"/>
      <w:marRight w:val="0"/>
      <w:marTop w:val="0"/>
      <w:marBottom w:val="0"/>
      <w:divBdr>
        <w:top w:val="none" w:sz="0" w:space="0" w:color="auto"/>
        <w:left w:val="none" w:sz="0" w:space="0" w:color="auto"/>
        <w:bottom w:val="none" w:sz="0" w:space="0" w:color="auto"/>
        <w:right w:val="none" w:sz="0" w:space="0" w:color="auto"/>
      </w:divBdr>
    </w:div>
    <w:div w:id="953486610">
      <w:bodyDiv w:val="1"/>
      <w:marLeft w:val="0"/>
      <w:marRight w:val="0"/>
      <w:marTop w:val="0"/>
      <w:marBottom w:val="0"/>
      <w:divBdr>
        <w:top w:val="none" w:sz="0" w:space="0" w:color="auto"/>
        <w:left w:val="none" w:sz="0" w:space="0" w:color="auto"/>
        <w:bottom w:val="none" w:sz="0" w:space="0" w:color="auto"/>
        <w:right w:val="none" w:sz="0" w:space="0" w:color="auto"/>
      </w:divBdr>
    </w:div>
    <w:div w:id="1047686228">
      <w:bodyDiv w:val="1"/>
      <w:marLeft w:val="0"/>
      <w:marRight w:val="0"/>
      <w:marTop w:val="0"/>
      <w:marBottom w:val="0"/>
      <w:divBdr>
        <w:top w:val="none" w:sz="0" w:space="0" w:color="auto"/>
        <w:left w:val="none" w:sz="0" w:space="0" w:color="auto"/>
        <w:bottom w:val="none" w:sz="0" w:space="0" w:color="auto"/>
        <w:right w:val="none" w:sz="0" w:space="0" w:color="auto"/>
      </w:divBdr>
    </w:div>
    <w:div w:id="1064254157">
      <w:bodyDiv w:val="1"/>
      <w:marLeft w:val="0"/>
      <w:marRight w:val="0"/>
      <w:marTop w:val="0"/>
      <w:marBottom w:val="0"/>
      <w:divBdr>
        <w:top w:val="none" w:sz="0" w:space="0" w:color="auto"/>
        <w:left w:val="none" w:sz="0" w:space="0" w:color="auto"/>
        <w:bottom w:val="none" w:sz="0" w:space="0" w:color="auto"/>
        <w:right w:val="none" w:sz="0" w:space="0" w:color="auto"/>
      </w:divBdr>
      <w:divsChild>
        <w:div w:id="248320219">
          <w:marLeft w:val="0"/>
          <w:marRight w:val="0"/>
          <w:marTop w:val="0"/>
          <w:marBottom w:val="0"/>
          <w:divBdr>
            <w:top w:val="none" w:sz="0" w:space="0" w:color="auto"/>
            <w:left w:val="none" w:sz="0" w:space="0" w:color="auto"/>
            <w:bottom w:val="none" w:sz="0" w:space="0" w:color="auto"/>
            <w:right w:val="none" w:sz="0" w:space="0" w:color="auto"/>
          </w:divBdr>
        </w:div>
        <w:div w:id="1292177137">
          <w:marLeft w:val="0"/>
          <w:marRight w:val="0"/>
          <w:marTop w:val="0"/>
          <w:marBottom w:val="0"/>
          <w:divBdr>
            <w:top w:val="none" w:sz="0" w:space="0" w:color="auto"/>
            <w:left w:val="none" w:sz="0" w:space="0" w:color="auto"/>
            <w:bottom w:val="none" w:sz="0" w:space="0" w:color="auto"/>
            <w:right w:val="none" w:sz="0" w:space="0" w:color="auto"/>
          </w:divBdr>
        </w:div>
        <w:div w:id="1339309187">
          <w:marLeft w:val="0"/>
          <w:marRight w:val="0"/>
          <w:marTop w:val="0"/>
          <w:marBottom w:val="0"/>
          <w:divBdr>
            <w:top w:val="none" w:sz="0" w:space="0" w:color="auto"/>
            <w:left w:val="none" w:sz="0" w:space="0" w:color="auto"/>
            <w:bottom w:val="none" w:sz="0" w:space="0" w:color="auto"/>
            <w:right w:val="none" w:sz="0" w:space="0" w:color="auto"/>
          </w:divBdr>
        </w:div>
        <w:div w:id="1358462354">
          <w:marLeft w:val="0"/>
          <w:marRight w:val="0"/>
          <w:marTop w:val="0"/>
          <w:marBottom w:val="0"/>
          <w:divBdr>
            <w:top w:val="none" w:sz="0" w:space="0" w:color="auto"/>
            <w:left w:val="none" w:sz="0" w:space="0" w:color="auto"/>
            <w:bottom w:val="none" w:sz="0" w:space="0" w:color="auto"/>
            <w:right w:val="none" w:sz="0" w:space="0" w:color="auto"/>
          </w:divBdr>
        </w:div>
        <w:div w:id="1651862741">
          <w:marLeft w:val="0"/>
          <w:marRight w:val="0"/>
          <w:marTop w:val="0"/>
          <w:marBottom w:val="0"/>
          <w:divBdr>
            <w:top w:val="none" w:sz="0" w:space="0" w:color="auto"/>
            <w:left w:val="none" w:sz="0" w:space="0" w:color="auto"/>
            <w:bottom w:val="none" w:sz="0" w:space="0" w:color="auto"/>
            <w:right w:val="none" w:sz="0" w:space="0" w:color="auto"/>
          </w:divBdr>
        </w:div>
        <w:div w:id="1851868474">
          <w:marLeft w:val="0"/>
          <w:marRight w:val="0"/>
          <w:marTop w:val="0"/>
          <w:marBottom w:val="0"/>
          <w:divBdr>
            <w:top w:val="none" w:sz="0" w:space="0" w:color="auto"/>
            <w:left w:val="none" w:sz="0" w:space="0" w:color="auto"/>
            <w:bottom w:val="none" w:sz="0" w:space="0" w:color="auto"/>
            <w:right w:val="none" w:sz="0" w:space="0" w:color="auto"/>
          </w:divBdr>
        </w:div>
      </w:divsChild>
    </w:div>
    <w:div w:id="1134834264">
      <w:bodyDiv w:val="1"/>
      <w:marLeft w:val="0"/>
      <w:marRight w:val="0"/>
      <w:marTop w:val="0"/>
      <w:marBottom w:val="0"/>
      <w:divBdr>
        <w:top w:val="none" w:sz="0" w:space="0" w:color="auto"/>
        <w:left w:val="none" w:sz="0" w:space="0" w:color="auto"/>
        <w:bottom w:val="none" w:sz="0" w:space="0" w:color="auto"/>
        <w:right w:val="none" w:sz="0" w:space="0" w:color="auto"/>
      </w:divBdr>
    </w:div>
    <w:div w:id="1190952707">
      <w:bodyDiv w:val="1"/>
      <w:marLeft w:val="0"/>
      <w:marRight w:val="0"/>
      <w:marTop w:val="0"/>
      <w:marBottom w:val="0"/>
      <w:divBdr>
        <w:top w:val="none" w:sz="0" w:space="0" w:color="auto"/>
        <w:left w:val="none" w:sz="0" w:space="0" w:color="auto"/>
        <w:bottom w:val="none" w:sz="0" w:space="0" w:color="auto"/>
        <w:right w:val="none" w:sz="0" w:space="0" w:color="auto"/>
      </w:divBdr>
    </w:div>
    <w:div w:id="1217740455">
      <w:bodyDiv w:val="1"/>
      <w:marLeft w:val="0"/>
      <w:marRight w:val="0"/>
      <w:marTop w:val="0"/>
      <w:marBottom w:val="0"/>
      <w:divBdr>
        <w:top w:val="none" w:sz="0" w:space="0" w:color="auto"/>
        <w:left w:val="none" w:sz="0" w:space="0" w:color="auto"/>
        <w:bottom w:val="none" w:sz="0" w:space="0" w:color="auto"/>
        <w:right w:val="none" w:sz="0" w:space="0" w:color="auto"/>
      </w:divBdr>
    </w:div>
    <w:div w:id="1318681941">
      <w:bodyDiv w:val="1"/>
      <w:marLeft w:val="0"/>
      <w:marRight w:val="0"/>
      <w:marTop w:val="0"/>
      <w:marBottom w:val="0"/>
      <w:divBdr>
        <w:top w:val="none" w:sz="0" w:space="0" w:color="auto"/>
        <w:left w:val="none" w:sz="0" w:space="0" w:color="auto"/>
        <w:bottom w:val="none" w:sz="0" w:space="0" w:color="auto"/>
        <w:right w:val="none" w:sz="0" w:space="0" w:color="auto"/>
      </w:divBdr>
    </w:div>
    <w:div w:id="1361054870">
      <w:bodyDiv w:val="1"/>
      <w:marLeft w:val="0"/>
      <w:marRight w:val="0"/>
      <w:marTop w:val="0"/>
      <w:marBottom w:val="0"/>
      <w:divBdr>
        <w:top w:val="none" w:sz="0" w:space="0" w:color="auto"/>
        <w:left w:val="none" w:sz="0" w:space="0" w:color="auto"/>
        <w:bottom w:val="none" w:sz="0" w:space="0" w:color="auto"/>
        <w:right w:val="none" w:sz="0" w:space="0" w:color="auto"/>
      </w:divBdr>
    </w:div>
    <w:div w:id="1405224765">
      <w:bodyDiv w:val="1"/>
      <w:marLeft w:val="0"/>
      <w:marRight w:val="0"/>
      <w:marTop w:val="0"/>
      <w:marBottom w:val="0"/>
      <w:divBdr>
        <w:top w:val="none" w:sz="0" w:space="0" w:color="auto"/>
        <w:left w:val="none" w:sz="0" w:space="0" w:color="auto"/>
        <w:bottom w:val="none" w:sz="0" w:space="0" w:color="auto"/>
        <w:right w:val="none" w:sz="0" w:space="0" w:color="auto"/>
      </w:divBdr>
    </w:div>
    <w:div w:id="1462070355">
      <w:bodyDiv w:val="1"/>
      <w:marLeft w:val="0"/>
      <w:marRight w:val="0"/>
      <w:marTop w:val="0"/>
      <w:marBottom w:val="0"/>
      <w:divBdr>
        <w:top w:val="none" w:sz="0" w:space="0" w:color="auto"/>
        <w:left w:val="none" w:sz="0" w:space="0" w:color="auto"/>
        <w:bottom w:val="none" w:sz="0" w:space="0" w:color="auto"/>
        <w:right w:val="none" w:sz="0" w:space="0" w:color="auto"/>
      </w:divBdr>
    </w:div>
    <w:div w:id="1481534644">
      <w:bodyDiv w:val="1"/>
      <w:marLeft w:val="0"/>
      <w:marRight w:val="0"/>
      <w:marTop w:val="0"/>
      <w:marBottom w:val="0"/>
      <w:divBdr>
        <w:top w:val="none" w:sz="0" w:space="0" w:color="auto"/>
        <w:left w:val="none" w:sz="0" w:space="0" w:color="auto"/>
        <w:bottom w:val="none" w:sz="0" w:space="0" w:color="auto"/>
        <w:right w:val="none" w:sz="0" w:space="0" w:color="auto"/>
      </w:divBdr>
    </w:div>
    <w:div w:id="1668439515">
      <w:bodyDiv w:val="1"/>
      <w:marLeft w:val="0"/>
      <w:marRight w:val="0"/>
      <w:marTop w:val="0"/>
      <w:marBottom w:val="0"/>
      <w:divBdr>
        <w:top w:val="none" w:sz="0" w:space="0" w:color="auto"/>
        <w:left w:val="none" w:sz="0" w:space="0" w:color="auto"/>
        <w:bottom w:val="none" w:sz="0" w:space="0" w:color="auto"/>
        <w:right w:val="none" w:sz="0" w:space="0" w:color="auto"/>
      </w:divBdr>
    </w:div>
    <w:div w:id="1731490946">
      <w:bodyDiv w:val="1"/>
      <w:marLeft w:val="0"/>
      <w:marRight w:val="0"/>
      <w:marTop w:val="0"/>
      <w:marBottom w:val="0"/>
      <w:divBdr>
        <w:top w:val="none" w:sz="0" w:space="0" w:color="auto"/>
        <w:left w:val="none" w:sz="0" w:space="0" w:color="auto"/>
        <w:bottom w:val="none" w:sz="0" w:space="0" w:color="auto"/>
        <w:right w:val="none" w:sz="0" w:space="0" w:color="auto"/>
      </w:divBdr>
      <w:divsChild>
        <w:div w:id="768505106">
          <w:marLeft w:val="0"/>
          <w:marRight w:val="0"/>
          <w:marTop w:val="0"/>
          <w:marBottom w:val="0"/>
          <w:divBdr>
            <w:top w:val="none" w:sz="0" w:space="0" w:color="auto"/>
            <w:left w:val="none" w:sz="0" w:space="0" w:color="auto"/>
            <w:bottom w:val="none" w:sz="0" w:space="0" w:color="auto"/>
            <w:right w:val="none" w:sz="0" w:space="0" w:color="auto"/>
          </w:divBdr>
          <w:divsChild>
            <w:div w:id="1180848987">
              <w:marLeft w:val="0"/>
              <w:marRight w:val="0"/>
              <w:marTop w:val="0"/>
              <w:marBottom w:val="0"/>
              <w:divBdr>
                <w:top w:val="none" w:sz="0" w:space="0" w:color="auto"/>
                <w:left w:val="none" w:sz="0" w:space="0" w:color="auto"/>
                <w:bottom w:val="none" w:sz="0" w:space="0" w:color="auto"/>
                <w:right w:val="none" w:sz="0" w:space="0" w:color="auto"/>
              </w:divBdr>
            </w:div>
            <w:div w:id="613906488">
              <w:marLeft w:val="0"/>
              <w:marRight w:val="0"/>
              <w:marTop w:val="0"/>
              <w:marBottom w:val="0"/>
              <w:divBdr>
                <w:top w:val="none" w:sz="0" w:space="0" w:color="auto"/>
                <w:left w:val="none" w:sz="0" w:space="0" w:color="auto"/>
                <w:bottom w:val="none" w:sz="0" w:space="0" w:color="auto"/>
                <w:right w:val="none" w:sz="0" w:space="0" w:color="auto"/>
              </w:divBdr>
              <w:divsChild>
                <w:div w:id="267473710">
                  <w:marLeft w:val="0"/>
                  <w:marRight w:val="0"/>
                  <w:marTop w:val="0"/>
                  <w:marBottom w:val="0"/>
                  <w:divBdr>
                    <w:top w:val="none" w:sz="0" w:space="0" w:color="auto"/>
                    <w:left w:val="none" w:sz="0" w:space="0" w:color="auto"/>
                    <w:bottom w:val="none" w:sz="0" w:space="0" w:color="auto"/>
                    <w:right w:val="none" w:sz="0" w:space="0" w:color="auto"/>
                  </w:divBdr>
                  <w:divsChild>
                    <w:div w:id="182997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644155">
              <w:marLeft w:val="0"/>
              <w:marRight w:val="0"/>
              <w:marTop w:val="0"/>
              <w:marBottom w:val="0"/>
              <w:divBdr>
                <w:top w:val="none" w:sz="0" w:space="0" w:color="auto"/>
                <w:left w:val="none" w:sz="0" w:space="0" w:color="auto"/>
                <w:bottom w:val="none" w:sz="0" w:space="0" w:color="auto"/>
                <w:right w:val="none" w:sz="0" w:space="0" w:color="auto"/>
              </w:divBdr>
              <w:divsChild>
                <w:div w:id="84459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527232">
          <w:marLeft w:val="0"/>
          <w:marRight w:val="0"/>
          <w:marTop w:val="0"/>
          <w:marBottom w:val="0"/>
          <w:divBdr>
            <w:top w:val="none" w:sz="0" w:space="0" w:color="auto"/>
            <w:left w:val="none" w:sz="0" w:space="0" w:color="auto"/>
            <w:bottom w:val="none" w:sz="0" w:space="0" w:color="auto"/>
            <w:right w:val="none" w:sz="0" w:space="0" w:color="auto"/>
          </w:divBdr>
          <w:divsChild>
            <w:div w:id="406149385">
              <w:marLeft w:val="0"/>
              <w:marRight w:val="0"/>
              <w:marTop w:val="0"/>
              <w:marBottom w:val="0"/>
              <w:divBdr>
                <w:top w:val="none" w:sz="0" w:space="0" w:color="auto"/>
                <w:left w:val="none" w:sz="0" w:space="0" w:color="auto"/>
                <w:bottom w:val="none" w:sz="0" w:space="0" w:color="auto"/>
                <w:right w:val="none" w:sz="0" w:space="0" w:color="auto"/>
              </w:divBdr>
              <w:divsChild>
                <w:div w:id="1314682785">
                  <w:marLeft w:val="0"/>
                  <w:marRight w:val="0"/>
                  <w:marTop w:val="0"/>
                  <w:marBottom w:val="0"/>
                  <w:divBdr>
                    <w:top w:val="none" w:sz="0" w:space="0" w:color="auto"/>
                    <w:left w:val="none" w:sz="0" w:space="0" w:color="auto"/>
                    <w:bottom w:val="none" w:sz="0" w:space="0" w:color="auto"/>
                    <w:right w:val="none" w:sz="0" w:space="0" w:color="auto"/>
                  </w:divBdr>
                  <w:divsChild>
                    <w:div w:id="183665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1386615">
      <w:bodyDiv w:val="1"/>
      <w:marLeft w:val="0"/>
      <w:marRight w:val="0"/>
      <w:marTop w:val="0"/>
      <w:marBottom w:val="0"/>
      <w:divBdr>
        <w:top w:val="none" w:sz="0" w:space="0" w:color="auto"/>
        <w:left w:val="none" w:sz="0" w:space="0" w:color="auto"/>
        <w:bottom w:val="none" w:sz="0" w:space="0" w:color="auto"/>
        <w:right w:val="none" w:sz="0" w:space="0" w:color="auto"/>
      </w:divBdr>
    </w:div>
    <w:div w:id="1855529918">
      <w:bodyDiv w:val="1"/>
      <w:marLeft w:val="0"/>
      <w:marRight w:val="0"/>
      <w:marTop w:val="0"/>
      <w:marBottom w:val="0"/>
      <w:divBdr>
        <w:top w:val="none" w:sz="0" w:space="0" w:color="auto"/>
        <w:left w:val="none" w:sz="0" w:space="0" w:color="auto"/>
        <w:bottom w:val="none" w:sz="0" w:space="0" w:color="auto"/>
        <w:right w:val="none" w:sz="0" w:space="0" w:color="auto"/>
      </w:divBdr>
    </w:div>
    <w:div w:id="1862819414">
      <w:bodyDiv w:val="1"/>
      <w:marLeft w:val="0"/>
      <w:marRight w:val="0"/>
      <w:marTop w:val="0"/>
      <w:marBottom w:val="0"/>
      <w:divBdr>
        <w:top w:val="none" w:sz="0" w:space="0" w:color="auto"/>
        <w:left w:val="none" w:sz="0" w:space="0" w:color="auto"/>
        <w:bottom w:val="none" w:sz="0" w:space="0" w:color="auto"/>
        <w:right w:val="none" w:sz="0" w:space="0" w:color="auto"/>
      </w:divBdr>
    </w:div>
    <w:div w:id="1921061218">
      <w:bodyDiv w:val="1"/>
      <w:marLeft w:val="0"/>
      <w:marRight w:val="0"/>
      <w:marTop w:val="0"/>
      <w:marBottom w:val="0"/>
      <w:divBdr>
        <w:top w:val="none" w:sz="0" w:space="0" w:color="auto"/>
        <w:left w:val="none" w:sz="0" w:space="0" w:color="auto"/>
        <w:bottom w:val="none" w:sz="0" w:space="0" w:color="auto"/>
        <w:right w:val="none" w:sz="0" w:space="0" w:color="auto"/>
      </w:divBdr>
    </w:div>
    <w:div w:id="1999533724">
      <w:bodyDiv w:val="1"/>
      <w:marLeft w:val="0"/>
      <w:marRight w:val="0"/>
      <w:marTop w:val="0"/>
      <w:marBottom w:val="0"/>
      <w:divBdr>
        <w:top w:val="none" w:sz="0" w:space="0" w:color="auto"/>
        <w:left w:val="none" w:sz="0" w:space="0" w:color="auto"/>
        <w:bottom w:val="none" w:sz="0" w:space="0" w:color="auto"/>
        <w:right w:val="none" w:sz="0" w:space="0" w:color="auto"/>
      </w:divBdr>
    </w:div>
    <w:div w:id="2121216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lobenewswire.com/Tracker?data=NO_gH0vErHlU9aezdxRx2Ybs_HsCo8IZjeMwnQY6G76q8IRDOQvlPcVPvdoQrPnQdvWqznDm5AaYz2W5hfEfFAXz-LfGTB2FqY6QdjtnRHGSjE6SArmICq9Q5Cg-QAf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ediminas.petrauskas@epsog.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buot xmlns="df78c847-7990-474d-b937-418f54a9b236" xsi:nil="true"/>
    <lcf76f155ced4ddcb4097134ff3c332f xmlns="df78c847-7990-474d-b937-418f54a9b236">
      <Terms xmlns="http://schemas.microsoft.com/office/infopath/2007/PartnerControls"/>
    </lcf76f155ced4ddcb4097134ff3c332f>
    <TaxCatchAll xmlns="1005c9cf-005f-42e7-9f32-3739ce0db2c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C5BC9F6ECFB0648BEAAE2B833A73F24" ma:contentTypeVersion="18" ma:contentTypeDescription="Create a new document." ma:contentTypeScope="" ma:versionID="46888711776fee172efab26578783792">
  <xsd:schema xmlns:xsd="http://www.w3.org/2001/XMLSchema" xmlns:xs="http://www.w3.org/2001/XMLSchema" xmlns:p="http://schemas.microsoft.com/office/2006/metadata/properties" xmlns:ns2="1005c9cf-005f-42e7-9f32-3739ce0db2cc" xmlns:ns3="df78c847-7990-474d-b937-418f54a9b236" targetNamespace="http://schemas.microsoft.com/office/2006/metadata/properties" ma:root="true" ma:fieldsID="816049be7787c45edd9570c20d47664b" ns2:_="" ns3:_="">
    <xsd:import namespace="1005c9cf-005f-42e7-9f32-3739ce0db2cc"/>
    <xsd:import namespace="df78c847-7990-474d-b937-418f54a9b2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buot" minOccurs="0"/>
                <xsd:element ref="ns3:MediaLengthInSeconds" minOccurs="0"/>
                <xsd:element ref="ns3:lcf76f155ced4ddcb4097134ff3c332f" minOccurs="0"/>
                <xsd:element ref="ns2:TaxCatchAll"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05c9cf-005f-42e7-9f32-3739ce0db2c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c304ee7b-b101-4090-83ab-fc4f93dc54c5}" ma:internalName="TaxCatchAll" ma:showField="CatchAllData" ma:web="1005c9cf-005f-42e7-9f32-3739ce0db2c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f78c847-7990-474d-b937-418f54a9b23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buot" ma:index="20" nillable="true" ma:displayName="Date and time" ma:internalName="buot">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e55ea33-fb35-4a2d-acc7-4a37822b3b90"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BCEEE2-0AE4-4D59-BF22-5E5F98AC1522}">
  <ds:schemaRefs>
    <ds:schemaRef ds:uri="http://schemas.microsoft.com/office/2006/metadata/properties"/>
    <ds:schemaRef ds:uri="http://schemas.microsoft.com/office/infopath/2007/PartnerControls"/>
    <ds:schemaRef ds:uri="df78c847-7990-474d-b937-418f54a9b236"/>
    <ds:schemaRef ds:uri="1005c9cf-005f-42e7-9f32-3739ce0db2cc"/>
  </ds:schemaRefs>
</ds:datastoreItem>
</file>

<file path=customXml/itemProps2.xml><?xml version="1.0" encoding="utf-8"?>
<ds:datastoreItem xmlns:ds="http://schemas.openxmlformats.org/officeDocument/2006/customXml" ds:itemID="{C21E2849-1F5F-4CBC-82A8-F8049E813A46}">
  <ds:schemaRefs>
    <ds:schemaRef ds:uri="http://schemas.microsoft.com/sharepoint/v3/contenttype/forms"/>
  </ds:schemaRefs>
</ds:datastoreItem>
</file>

<file path=customXml/itemProps3.xml><?xml version="1.0" encoding="utf-8"?>
<ds:datastoreItem xmlns:ds="http://schemas.openxmlformats.org/officeDocument/2006/customXml" ds:itemID="{D1ECA205-259C-463C-83D5-3643494FF754}">
  <ds:schemaRefs>
    <ds:schemaRef ds:uri="http://schemas.openxmlformats.org/officeDocument/2006/bibliography"/>
  </ds:schemaRefs>
</ds:datastoreItem>
</file>

<file path=customXml/itemProps4.xml><?xml version="1.0" encoding="utf-8"?>
<ds:datastoreItem xmlns:ds="http://schemas.openxmlformats.org/officeDocument/2006/customXml" ds:itemID="{D37719FA-022B-4D8A-97C3-53EFC7068B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05c9cf-005f-42e7-9f32-3739ce0db2cc"/>
    <ds:schemaRef ds:uri="df78c847-7990-474d-b937-418f54a9b2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2</Pages>
  <Words>3952</Words>
  <Characters>2253</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Antanas Bubnelis;Darius.Kasauskas@ignitis.lt</dc:creator>
  <cp:keywords/>
  <dc:description/>
  <cp:lastModifiedBy>Gediminas Petrauskas</cp:lastModifiedBy>
  <cp:revision>35</cp:revision>
  <cp:lastPrinted>2023-08-30T11:05:00Z</cp:lastPrinted>
  <dcterms:created xsi:type="dcterms:W3CDTF">2024-08-19T06:36:00Z</dcterms:created>
  <dcterms:modified xsi:type="dcterms:W3CDTF">2024-08-20T06:47:00Z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0x0101003C5BC9F6ECFB0648BEAAE2B833A73F24</vt:lpwstr>
  </property>
  <property fmtid="{D5CDD505-2E9C-101B-9397-08002B2CF9AE}" pid="3" name="MSIP_Label_75464948-aeeb-436c-a291-ab13687dc8ce_Enabled">
    <vt:lpwstr>true</vt:lpwstr>
  </property>
  <property fmtid="{D5CDD505-2E9C-101B-9397-08002B2CF9AE}" pid="4" name="MSIP_Label_75464948-aeeb-436c-a291-ab13687dc8ce_SetDate">
    <vt:lpwstr>2021-06-14T13:53:03Z</vt:lpwstr>
  </property>
  <property fmtid="{D5CDD505-2E9C-101B-9397-08002B2CF9AE}" pid="5" name="MSIP_Label_75464948-aeeb-436c-a291-ab13687dc8ce_Method">
    <vt:lpwstr>Standard</vt:lpwstr>
  </property>
  <property fmtid="{D5CDD505-2E9C-101B-9397-08002B2CF9AE}" pid="6" name="MSIP_Label_75464948-aeeb-436c-a291-ab13687dc8ce_Name">
    <vt:lpwstr>Internal</vt:lpwstr>
  </property>
  <property fmtid="{D5CDD505-2E9C-101B-9397-08002B2CF9AE}" pid="7" name="MSIP_Label_75464948-aeeb-436c-a291-ab13687dc8ce_SiteId">
    <vt:lpwstr>e54289c6-b630-4215-acc5-57eec01212d6</vt:lpwstr>
  </property>
  <property fmtid="{D5CDD505-2E9C-101B-9397-08002B2CF9AE}" pid="8" name="MSIP_Label_75464948-aeeb-436c-a291-ab13687dc8ce_ActionId">
    <vt:lpwstr>69a2957e-b2f0-4e78-b608-1b1847f70dc8</vt:lpwstr>
  </property>
  <property fmtid="{D5CDD505-2E9C-101B-9397-08002B2CF9AE}" pid="9" name="MSIP_Label_75464948-aeeb-436c-a291-ab13687dc8ce_ContentBits">
    <vt:lpwstr>0</vt:lpwstr>
  </property>
  <property fmtid="{D5CDD505-2E9C-101B-9397-08002B2CF9AE}" pid="10" name="MediaServiceImageTags">
    <vt:lpwstr/>
  </property>
  <property fmtid="{D5CDD505-2E9C-101B-9397-08002B2CF9AE}" pid="11" name="GrammarlyDocumentId">
    <vt:lpwstr>688080bbef1aea23a755b2161a309bd6e9fa40b0784dd4d9713425ee2bd3b1a1</vt:lpwstr>
  </property>
</Properties>
</file>